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Arial" w:hAnsi="Arial" w:eastAsia="仿宋" w:cs="Arial"/>
          <w:sz w:val="32"/>
          <w:szCs w:val="32"/>
        </w:rPr>
      </w:pPr>
      <w:r>
        <w:rPr>
          <w:rFonts w:hint="eastAsia" w:ascii="Arial" w:hAnsi="Arial" w:eastAsia="仿宋" w:cs="Arial"/>
          <w:sz w:val="32"/>
          <w:szCs w:val="32"/>
        </w:rPr>
        <w:t>泰隆金融学院2</w:t>
      </w:r>
      <w:r>
        <w:rPr>
          <w:rFonts w:ascii="Arial" w:hAnsi="Arial" w:eastAsia="仿宋" w:cs="Arial"/>
          <w:sz w:val="32"/>
          <w:szCs w:val="32"/>
        </w:rPr>
        <w:t>021</w:t>
      </w:r>
      <w:r>
        <w:rPr>
          <w:rFonts w:hint="eastAsia" w:ascii="Arial" w:hAnsi="Arial" w:eastAsia="仿宋" w:cs="Arial"/>
          <w:sz w:val="32"/>
          <w:szCs w:val="32"/>
        </w:rPr>
        <w:t>年度课题</w:t>
      </w:r>
      <w:bookmarkStart w:id="0" w:name="_GoBack"/>
      <w:bookmarkEnd w:id="0"/>
      <w:r>
        <w:rPr>
          <w:rFonts w:hint="eastAsia" w:ascii="Arial" w:hAnsi="Arial" w:eastAsia="仿宋" w:cs="Arial"/>
          <w:sz w:val="32"/>
          <w:szCs w:val="32"/>
        </w:rPr>
        <w:t>选题领域</w:t>
      </w:r>
    </w:p>
    <w:p>
      <w:pPr>
        <w:spacing w:line="360" w:lineRule="auto"/>
        <w:rPr>
          <w:rFonts w:ascii="Arial" w:hAnsi="Arial" w:eastAsia="仿宋" w:cs="Arial"/>
        </w:rPr>
      </w:pPr>
    </w:p>
    <w:p>
      <w:pPr>
        <w:pStyle w:val="6"/>
        <w:numPr>
          <w:ilvl w:val="0"/>
          <w:numId w:val="1"/>
        </w:numPr>
        <w:spacing w:line="360" w:lineRule="auto"/>
        <w:ind w:firstLineChars="0"/>
        <w:rPr>
          <w:rFonts w:ascii="Arial" w:hAnsi="Arial" w:eastAsia="仿宋" w:cs="Arial"/>
          <w:sz w:val="28"/>
          <w:szCs w:val="32"/>
        </w:rPr>
      </w:pPr>
      <w:r>
        <w:rPr>
          <w:rFonts w:ascii="Arial" w:hAnsi="Arial" w:eastAsia="仿宋" w:cs="Arial"/>
          <w:sz w:val="28"/>
          <w:szCs w:val="32"/>
        </w:rPr>
        <w:t>普惠金融工具创新（例如，道义担保）</w:t>
      </w:r>
    </w:p>
    <w:p>
      <w:pPr>
        <w:pStyle w:val="6"/>
        <w:numPr>
          <w:ilvl w:val="0"/>
          <w:numId w:val="1"/>
        </w:numPr>
        <w:spacing w:line="360" w:lineRule="auto"/>
        <w:ind w:firstLineChars="0"/>
        <w:rPr>
          <w:rFonts w:ascii="Arial" w:hAnsi="Arial" w:eastAsia="仿宋" w:cs="Arial"/>
          <w:sz w:val="28"/>
          <w:szCs w:val="32"/>
        </w:rPr>
      </w:pPr>
      <w:r>
        <w:rPr>
          <w:rFonts w:ascii="Arial" w:hAnsi="Arial" w:eastAsia="仿宋" w:cs="Arial"/>
          <w:sz w:val="28"/>
          <w:szCs w:val="32"/>
        </w:rPr>
        <w:t>小微信贷中软信息的测度、利用以及利用效率</w:t>
      </w:r>
    </w:p>
    <w:p>
      <w:pPr>
        <w:pStyle w:val="6"/>
        <w:numPr>
          <w:ilvl w:val="0"/>
          <w:numId w:val="1"/>
        </w:numPr>
        <w:spacing w:line="360" w:lineRule="auto"/>
        <w:ind w:firstLineChars="0"/>
        <w:rPr>
          <w:rFonts w:ascii="Arial" w:hAnsi="Arial" w:eastAsia="仿宋" w:cs="Arial"/>
          <w:sz w:val="28"/>
          <w:szCs w:val="32"/>
        </w:rPr>
      </w:pPr>
      <w:r>
        <w:rPr>
          <w:rFonts w:ascii="Arial" w:hAnsi="Arial" w:eastAsia="仿宋" w:cs="Arial"/>
          <w:sz w:val="28"/>
          <w:szCs w:val="32"/>
        </w:rPr>
        <w:t>普惠金融</w:t>
      </w:r>
      <w:r>
        <w:rPr>
          <w:rFonts w:hint="eastAsia" w:ascii="Arial" w:hAnsi="Arial" w:eastAsia="仿宋" w:cs="Arial"/>
          <w:sz w:val="28"/>
          <w:szCs w:val="32"/>
        </w:rPr>
        <w:t>（如无还本续贷等）</w:t>
      </w:r>
      <w:r>
        <w:rPr>
          <w:rFonts w:ascii="Arial" w:hAnsi="Arial" w:eastAsia="仿宋" w:cs="Arial"/>
          <w:sz w:val="28"/>
          <w:szCs w:val="32"/>
        </w:rPr>
        <w:t>相关政策效果分析</w:t>
      </w:r>
    </w:p>
    <w:p>
      <w:pPr>
        <w:pStyle w:val="6"/>
        <w:numPr>
          <w:ilvl w:val="0"/>
          <w:numId w:val="1"/>
        </w:numPr>
        <w:spacing w:line="360" w:lineRule="auto"/>
        <w:ind w:firstLineChars="0"/>
        <w:rPr>
          <w:rFonts w:ascii="Arial" w:hAnsi="Arial" w:eastAsia="仿宋" w:cs="Arial"/>
          <w:sz w:val="28"/>
          <w:szCs w:val="32"/>
        </w:rPr>
      </w:pPr>
      <w:r>
        <w:rPr>
          <w:rFonts w:hint="eastAsia" w:ascii="Arial" w:hAnsi="Arial" w:eastAsia="仿宋" w:cs="Arial"/>
          <w:sz w:val="28"/>
          <w:szCs w:val="32"/>
        </w:rPr>
        <w:t>产业数字化发展水平与中小银行经营风险</w:t>
      </w:r>
    </w:p>
    <w:p>
      <w:pPr>
        <w:pStyle w:val="6"/>
        <w:numPr>
          <w:ilvl w:val="0"/>
          <w:numId w:val="1"/>
        </w:numPr>
        <w:spacing w:line="360" w:lineRule="auto"/>
        <w:ind w:firstLineChars="0"/>
        <w:rPr>
          <w:rFonts w:ascii="Arial" w:hAnsi="Arial" w:eastAsia="仿宋" w:cs="Arial"/>
          <w:sz w:val="28"/>
          <w:szCs w:val="32"/>
        </w:rPr>
      </w:pPr>
      <w:r>
        <w:rPr>
          <w:rFonts w:hint="eastAsia" w:ascii="Arial" w:hAnsi="Arial" w:eastAsia="仿宋" w:cs="Arial"/>
          <w:sz w:val="28"/>
          <w:szCs w:val="32"/>
        </w:rPr>
        <w:t>绿色产业政策对中小企业经营风险的结构性影响</w:t>
      </w:r>
    </w:p>
    <w:p>
      <w:pPr>
        <w:pStyle w:val="6"/>
        <w:numPr>
          <w:ilvl w:val="0"/>
          <w:numId w:val="1"/>
        </w:numPr>
        <w:spacing w:line="360" w:lineRule="auto"/>
        <w:ind w:firstLineChars="0"/>
        <w:rPr>
          <w:rFonts w:ascii="Arial" w:hAnsi="Arial" w:eastAsia="仿宋" w:cs="Arial"/>
          <w:sz w:val="28"/>
          <w:szCs w:val="32"/>
        </w:rPr>
      </w:pPr>
      <w:r>
        <w:rPr>
          <w:rFonts w:hint="eastAsia" w:ascii="Arial" w:hAnsi="Arial" w:eastAsia="仿宋" w:cs="Arial"/>
          <w:sz w:val="28"/>
          <w:szCs w:val="32"/>
        </w:rPr>
        <w:t>共同富裕背景下个人金融行为分析</w:t>
      </w:r>
    </w:p>
    <w:p>
      <w:pPr>
        <w:pStyle w:val="6"/>
        <w:numPr>
          <w:ilvl w:val="0"/>
          <w:numId w:val="1"/>
        </w:numPr>
        <w:spacing w:line="360" w:lineRule="auto"/>
        <w:ind w:firstLineChars="0"/>
        <w:rPr>
          <w:rFonts w:ascii="Arial" w:hAnsi="Arial" w:eastAsia="仿宋" w:cs="Arial"/>
          <w:sz w:val="28"/>
          <w:szCs w:val="32"/>
        </w:rPr>
      </w:pPr>
      <w:r>
        <w:rPr>
          <w:rFonts w:hint="eastAsia" w:ascii="Arial" w:hAnsi="Arial" w:eastAsia="仿宋" w:cs="Arial"/>
          <w:sz w:val="28"/>
          <w:szCs w:val="32"/>
        </w:rPr>
        <w:t>乡村振兴、财政政策与涉农小微企业债务融资</w:t>
      </w:r>
    </w:p>
    <w:p>
      <w:pPr>
        <w:pStyle w:val="6"/>
        <w:numPr>
          <w:ilvl w:val="0"/>
          <w:numId w:val="1"/>
        </w:numPr>
        <w:spacing w:line="360" w:lineRule="auto"/>
        <w:ind w:firstLineChars="0"/>
        <w:rPr>
          <w:rFonts w:ascii="Arial" w:hAnsi="Arial" w:eastAsia="仿宋" w:cs="Arial"/>
          <w:sz w:val="28"/>
          <w:szCs w:val="32"/>
        </w:rPr>
      </w:pPr>
      <w:r>
        <w:rPr>
          <w:rFonts w:hint="eastAsia" w:ascii="Arial" w:hAnsi="Arial" w:eastAsia="仿宋" w:cs="Arial"/>
          <w:sz w:val="28"/>
          <w:szCs w:val="32"/>
        </w:rPr>
        <w:t>普惠金融与金融诈骗</w:t>
      </w:r>
    </w:p>
    <w:p>
      <w:pPr>
        <w:pStyle w:val="6"/>
        <w:numPr>
          <w:ilvl w:val="0"/>
          <w:numId w:val="1"/>
        </w:numPr>
        <w:spacing w:line="360" w:lineRule="auto"/>
        <w:ind w:firstLineChars="0"/>
        <w:rPr>
          <w:rFonts w:ascii="Arial" w:hAnsi="Arial" w:eastAsia="仿宋" w:cs="Arial"/>
          <w:sz w:val="28"/>
          <w:szCs w:val="32"/>
        </w:rPr>
      </w:pPr>
      <w:r>
        <w:rPr>
          <w:rFonts w:hint="eastAsia" w:ascii="Arial" w:hAnsi="Arial" w:eastAsia="仿宋" w:cs="Arial"/>
          <w:sz w:val="28"/>
          <w:szCs w:val="32"/>
        </w:rPr>
        <w:t>涉农贷款、农业投入与农业生产率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56546A"/>
    <w:multiLevelType w:val="multilevel"/>
    <w:tmpl w:val="6956546A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CDE"/>
    <w:rsid w:val="00121AED"/>
    <w:rsid w:val="002344B2"/>
    <w:rsid w:val="002F6ECC"/>
    <w:rsid w:val="002F7FD6"/>
    <w:rsid w:val="00333CDE"/>
    <w:rsid w:val="003758CE"/>
    <w:rsid w:val="004519CB"/>
    <w:rsid w:val="0048063E"/>
    <w:rsid w:val="004E3C0D"/>
    <w:rsid w:val="005D2308"/>
    <w:rsid w:val="005E607D"/>
    <w:rsid w:val="00603D13"/>
    <w:rsid w:val="006D72EC"/>
    <w:rsid w:val="007443FB"/>
    <w:rsid w:val="007D6A32"/>
    <w:rsid w:val="00974418"/>
    <w:rsid w:val="00A32C28"/>
    <w:rsid w:val="00A54C81"/>
    <w:rsid w:val="00A67638"/>
    <w:rsid w:val="00BC3365"/>
    <w:rsid w:val="00C37EB6"/>
    <w:rsid w:val="00CF3785"/>
    <w:rsid w:val="00D20DF9"/>
    <w:rsid w:val="00D6014B"/>
    <w:rsid w:val="00F14669"/>
    <w:rsid w:val="00FD2881"/>
    <w:rsid w:val="295F1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</Words>
  <Characters>166</Characters>
  <Lines>1</Lines>
  <Paragraphs>1</Paragraphs>
  <TotalTime>252</TotalTime>
  <ScaleCrop>false</ScaleCrop>
  <LinksUpToDate>false</LinksUpToDate>
  <CharactersWithSpaces>193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2021-06-10T02:05:00Z</dcterms:created>
  <dc:creator>Ruolin Wang</dc:creator>
  <cp:lastModifiedBy>zjsutfs</cp:lastModifiedBy>
  <dcterms:modified xsi:type="dcterms:W3CDTF">2021-06-18T01:45:07Z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7D4C74D2C95244A699B0AA78EEC0CB75</vt:lpwstr>
  </property>
</Properties>
</file>