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300" w:lineRule="auto"/>
        <w:jc w:val="center"/>
        <w:textAlignment w:val="auto"/>
        <w:rPr>
          <w:rFonts w:ascii="宋体" w:hAnsi="宋体"/>
          <w:b/>
          <w:sz w:val="30"/>
          <w:szCs w:val="30"/>
        </w:rPr>
      </w:pPr>
      <w:r>
        <w:rPr>
          <w:rFonts w:hint="eastAsia" w:ascii="宋体" w:hAnsi="宋体"/>
          <w:b/>
          <w:sz w:val="30"/>
          <w:szCs w:val="30"/>
        </w:rPr>
        <w:t>浙江工商大学</w:t>
      </w:r>
      <w:r>
        <w:rPr>
          <w:rFonts w:hint="eastAsia" w:ascii="宋体" w:hAnsi="宋体"/>
          <w:b/>
          <w:sz w:val="30"/>
          <w:szCs w:val="30"/>
          <w:lang w:val="en-US" w:eastAsia="zh-CN"/>
        </w:rPr>
        <w:t>泰隆金融学院</w:t>
      </w:r>
      <w:r>
        <w:rPr>
          <w:rFonts w:hint="eastAsia" w:ascii="宋体" w:hAnsi="宋体"/>
          <w:b/>
          <w:sz w:val="30"/>
          <w:szCs w:val="30"/>
        </w:rPr>
        <w:t>学生素质评价实施条例</w:t>
      </w:r>
    </w:p>
    <w:p>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b/>
          <w:sz w:val="30"/>
          <w:szCs w:val="30"/>
        </w:rPr>
      </w:pPr>
      <w:r>
        <w:rPr>
          <w:rFonts w:hint="eastAsia" w:ascii="宋体" w:hAnsi="宋体"/>
          <w:b/>
          <w:sz w:val="30"/>
          <w:szCs w:val="30"/>
        </w:rPr>
        <w:t>（</w:t>
      </w:r>
      <w:r>
        <w:rPr>
          <w:rFonts w:hint="eastAsia" w:ascii="宋体" w:hAnsi="宋体"/>
          <w:b/>
          <w:sz w:val="30"/>
          <w:szCs w:val="30"/>
          <w:lang w:val="en-US" w:eastAsia="zh-CN"/>
        </w:rPr>
        <w:t>征求意见稿</w:t>
      </w:r>
      <w:r>
        <w:rPr>
          <w:rFonts w:hint="eastAsia" w:ascii="宋体" w:hAnsi="宋体"/>
          <w:b/>
          <w:sz w:val="30"/>
          <w:szCs w:val="30"/>
        </w:rPr>
        <w:t>202</w:t>
      </w:r>
      <w:r>
        <w:rPr>
          <w:rFonts w:hint="default" w:ascii="宋体" w:hAnsi="宋体"/>
          <w:b/>
          <w:sz w:val="30"/>
          <w:szCs w:val="30"/>
        </w:rPr>
        <w:t>3</w:t>
      </w:r>
      <w:r>
        <w:rPr>
          <w:rFonts w:hint="eastAsia" w:ascii="宋体" w:hAnsi="宋体"/>
          <w:b/>
          <w:sz w:val="30"/>
          <w:szCs w:val="30"/>
        </w:rPr>
        <w:t>年</w:t>
      </w:r>
      <w:r>
        <w:rPr>
          <w:rFonts w:hint="eastAsia" w:ascii="宋体" w:hAnsi="宋体"/>
          <w:b/>
          <w:sz w:val="30"/>
          <w:szCs w:val="30"/>
          <w:lang w:val="en-US" w:eastAsia="zh-CN"/>
        </w:rPr>
        <w:t>10</w:t>
      </w:r>
      <w:r>
        <w:rPr>
          <w:rFonts w:hint="eastAsia" w:ascii="宋体" w:hAnsi="宋体"/>
          <w:b/>
          <w:sz w:val="30"/>
          <w:szCs w:val="30"/>
        </w:rPr>
        <w:t>月修订）</w:t>
      </w:r>
    </w:p>
    <w:p>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b/>
          <w:sz w:val="30"/>
          <w:szCs w:val="30"/>
        </w:rPr>
      </w:pPr>
    </w:p>
    <w:p>
      <w:pPr>
        <w:keepNext w:val="0"/>
        <w:keepLines w:val="0"/>
        <w:pageBreakBefore w:val="0"/>
        <w:kinsoku/>
        <w:wordWrap/>
        <w:overflowPunct/>
        <w:topLinePunct w:val="0"/>
        <w:autoSpaceDE/>
        <w:autoSpaceDN/>
        <w:bidi w:val="0"/>
        <w:adjustRightInd/>
        <w:spacing w:line="300" w:lineRule="auto"/>
        <w:jc w:val="center"/>
        <w:textAlignment w:val="auto"/>
        <w:rPr>
          <w:rFonts w:ascii="宋体" w:hAnsi="宋体"/>
          <w:b/>
          <w:sz w:val="24"/>
          <w:szCs w:val="24"/>
        </w:rPr>
      </w:pPr>
      <w:r>
        <w:rPr>
          <w:rFonts w:hint="eastAsia" w:ascii="宋体" w:hAnsi="宋体"/>
          <w:b/>
          <w:sz w:val="24"/>
          <w:szCs w:val="24"/>
        </w:rPr>
        <w:t>基本项：基本测评分=品德素质</w:t>
      </w:r>
      <w:r>
        <w:rPr>
          <w:rFonts w:hint="eastAsia" w:ascii="宋体" w:hAnsi="宋体"/>
          <w:szCs w:val="21"/>
        </w:rPr>
        <w:t>×</w:t>
      </w:r>
      <w:r>
        <w:rPr>
          <w:rFonts w:hint="default" w:ascii="宋体" w:hAnsi="宋体"/>
          <w:b/>
          <w:bCs/>
          <w:sz w:val="24"/>
          <w:szCs w:val="24"/>
        </w:rPr>
        <w:t>30</w:t>
      </w:r>
      <w:r>
        <w:rPr>
          <w:rFonts w:hint="eastAsia" w:ascii="宋体" w:hAnsi="宋体"/>
          <w:b/>
          <w:sz w:val="24"/>
          <w:szCs w:val="24"/>
        </w:rPr>
        <w:t>%+专业素质</w:t>
      </w:r>
      <w:r>
        <w:rPr>
          <w:rFonts w:hint="eastAsia" w:ascii="宋体" w:hAnsi="宋体"/>
          <w:szCs w:val="21"/>
        </w:rPr>
        <w:t>×</w:t>
      </w:r>
      <w:r>
        <w:rPr>
          <w:rFonts w:hint="default" w:ascii="宋体" w:hAnsi="宋体"/>
          <w:b/>
          <w:sz w:val="24"/>
          <w:szCs w:val="24"/>
        </w:rPr>
        <w:t>70</w:t>
      </w:r>
      <w:r>
        <w:rPr>
          <w:rFonts w:hint="eastAsia" w:ascii="宋体" w:hAnsi="宋体"/>
          <w:b/>
          <w:sz w:val="24"/>
          <w:szCs w:val="24"/>
        </w:rPr>
        <w:t>%</w:t>
      </w:r>
    </w:p>
    <w:p>
      <w:pPr>
        <w:keepNext w:val="0"/>
        <w:keepLines w:val="0"/>
        <w:pageBreakBefore w:val="0"/>
        <w:kinsoku/>
        <w:wordWrap/>
        <w:overflowPunct/>
        <w:topLinePunct w:val="0"/>
        <w:autoSpaceDE/>
        <w:autoSpaceDN/>
        <w:bidi w:val="0"/>
        <w:adjustRightInd/>
        <w:spacing w:line="300" w:lineRule="auto"/>
        <w:jc w:val="both"/>
        <w:textAlignment w:val="auto"/>
        <w:rPr>
          <w:rFonts w:ascii="宋体" w:hAnsi="宋体"/>
          <w:b/>
          <w:szCs w:val="21"/>
        </w:rPr>
      </w:pPr>
      <w:r>
        <w:rPr>
          <w:rFonts w:hint="eastAsia" w:ascii="宋体" w:hAnsi="宋体"/>
          <w:b/>
          <w:szCs w:val="21"/>
        </w:rPr>
        <w:t>一、品德素质评价</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（一）评议成绩（70%）（自评均为100分）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1.评议成绩=学生自评成绩×5%+学生代表评议成绩×60%+辅导员评议成绩×35%</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2.评议内容为政治素养、法制观念、</w:t>
      </w:r>
      <w:r>
        <w:rPr>
          <w:rFonts w:hint="eastAsia" w:ascii="宋体" w:hAnsi="宋体"/>
          <w:szCs w:val="21"/>
          <w:lang w:val="en-US" w:eastAsia="zh-Hans"/>
        </w:rPr>
        <w:t>心理素质</w:t>
      </w:r>
      <w:r>
        <w:rPr>
          <w:rFonts w:hint="default" w:ascii="宋体" w:hAnsi="宋体"/>
          <w:szCs w:val="21"/>
          <w:lang w:eastAsia="zh-Hans"/>
        </w:rPr>
        <w:t>、</w:t>
      </w:r>
      <w:r>
        <w:rPr>
          <w:rFonts w:hint="eastAsia" w:ascii="宋体" w:hAnsi="宋体"/>
          <w:szCs w:val="21"/>
        </w:rPr>
        <w:t>诚实守信、团队协作和社会责任（</w:t>
      </w:r>
      <w:r>
        <w:rPr>
          <w:rFonts w:hint="eastAsia" w:ascii="宋体" w:hAnsi="宋体"/>
          <w:szCs w:val="21"/>
          <w:u w:val="single"/>
        </w:rPr>
        <w:t>具体要求见学生手册</w:t>
      </w:r>
      <w:r>
        <w:rPr>
          <w:rFonts w:hint="eastAsia" w:ascii="宋体" w:hAnsi="宋体"/>
          <w:szCs w:val="21"/>
        </w:rPr>
        <w:t>），各项评议标准如下：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430"/>
        <w:gridCol w:w="1430"/>
        <w:gridCol w:w="1430"/>
        <w:gridCol w:w="1430"/>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7"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综合印象</w:t>
            </w:r>
          </w:p>
        </w:tc>
        <w:tc>
          <w:tcPr>
            <w:tcW w:w="143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优秀</w:t>
            </w:r>
          </w:p>
        </w:tc>
        <w:tc>
          <w:tcPr>
            <w:tcW w:w="143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良好</w:t>
            </w:r>
          </w:p>
        </w:tc>
        <w:tc>
          <w:tcPr>
            <w:tcW w:w="143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合格</w:t>
            </w:r>
          </w:p>
        </w:tc>
        <w:tc>
          <w:tcPr>
            <w:tcW w:w="143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较差</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7"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可得分数</w:t>
            </w:r>
          </w:p>
        </w:tc>
        <w:tc>
          <w:tcPr>
            <w:tcW w:w="143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18～20</w:t>
            </w:r>
          </w:p>
        </w:tc>
        <w:tc>
          <w:tcPr>
            <w:tcW w:w="143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15～17</w:t>
            </w:r>
          </w:p>
        </w:tc>
        <w:tc>
          <w:tcPr>
            <w:tcW w:w="143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12～14</w:t>
            </w:r>
          </w:p>
        </w:tc>
        <w:tc>
          <w:tcPr>
            <w:tcW w:w="143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10～11</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10以下</w:t>
            </w:r>
          </w:p>
        </w:tc>
      </w:tr>
    </w:tbl>
    <w:p>
      <w:pPr>
        <w:keepNext w:val="0"/>
        <w:keepLines w:val="0"/>
        <w:pageBreakBefore w:val="0"/>
        <w:kinsoku/>
        <w:wordWrap/>
        <w:overflowPunct/>
        <w:topLinePunct w:val="0"/>
        <w:autoSpaceDE/>
        <w:autoSpaceDN/>
        <w:bidi w:val="0"/>
        <w:adjustRightInd/>
        <w:ind w:firstLine="420" w:firstLineChars="200"/>
        <w:jc w:val="both"/>
        <w:textAlignment w:val="auto"/>
      </w:pPr>
      <w:r>
        <w:rPr>
          <w:rFonts w:hint="eastAsia" w:ascii="宋体" w:hAnsi="宋体"/>
          <w:szCs w:val="21"/>
        </w:rPr>
        <w:t>3.评议办法：评议由学生自评、学生代表评价（</w:t>
      </w:r>
      <w:r>
        <w:rPr>
          <w:rFonts w:hint="eastAsia" w:ascii="宋体" w:hAnsi="宋体"/>
          <w:szCs w:val="21"/>
          <w:u w:val="single"/>
        </w:rPr>
        <w:t>即系统中的互评：</w:t>
      </w:r>
      <w:r>
        <w:rPr>
          <w:rFonts w:hint="eastAsia" w:ascii="宋体" w:hAnsi="宋体"/>
          <w:szCs w:val="21"/>
        </w:rPr>
        <w:t>互评环节</w:t>
      </w:r>
      <w:r>
        <w:rPr>
          <w:rFonts w:hint="eastAsia"/>
        </w:rPr>
        <w:t>如有同学给每位同学的评分都是100分或者是一样的分数，则打分无效。</w:t>
      </w:r>
      <w:r>
        <w:rPr>
          <w:rFonts w:hint="eastAsia"/>
          <w:u w:val="single"/>
        </w:rPr>
        <w:t>打分范围控制在80-100分以内，班级各位同学的分数应有一定的差异。</w:t>
      </w:r>
      <w:r>
        <w:rPr>
          <w:rFonts w:hint="eastAsia"/>
        </w:rPr>
        <w:t>待班长将学生代表名发送给辅导员后，辅导员会在系统内给学生代表开放互评权限，学生代表对班级同学进行评价</w:t>
      </w:r>
      <w:r>
        <w:rPr>
          <w:rFonts w:hint="eastAsia" w:ascii="宋体" w:hAnsi="宋体"/>
          <w:szCs w:val="21"/>
        </w:rPr>
        <w:t>）、辅导员评价</w:t>
      </w:r>
      <w:r>
        <w:rPr>
          <w:rFonts w:hint="eastAsia" w:ascii="宋体" w:hAnsi="宋体"/>
          <w:color w:val="FF0000"/>
          <w:szCs w:val="21"/>
          <w:lang w:eastAsia="zh-CN"/>
        </w:rPr>
        <w:t>（</w:t>
      </w:r>
      <w:r>
        <w:rPr>
          <w:rFonts w:hint="eastAsia" w:ascii="宋体" w:hAnsi="宋体"/>
          <w:color w:val="FF0000"/>
          <w:szCs w:val="21"/>
          <w:lang w:val="en-US" w:eastAsia="zh-CN"/>
        </w:rPr>
        <w:t>其中，学生当年度体测成绩＜60，则辅导员评议成绩≤75分</w:t>
      </w:r>
      <w:r>
        <w:rPr>
          <w:rFonts w:hint="eastAsia" w:ascii="宋体" w:hAnsi="宋体"/>
          <w:color w:val="FF0000"/>
          <w:szCs w:val="21"/>
          <w:lang w:eastAsia="zh-CN"/>
        </w:rPr>
        <w:t>）</w:t>
      </w:r>
      <w:r>
        <w:rPr>
          <w:rFonts w:hint="eastAsia" w:ascii="宋体" w:hAnsi="宋体"/>
          <w:szCs w:val="21"/>
        </w:rPr>
        <w:t>构成，按比例（5%、60%、35%）合成计算品德素质评议分数（系统自动生成计算结果）。</w:t>
      </w:r>
      <w:r>
        <w:rPr>
          <w:rFonts w:hint="eastAsia" w:ascii="宋体" w:hAnsi="宋体"/>
          <w:szCs w:val="21"/>
          <w:u w:val="single"/>
        </w:rPr>
        <w:t>学生代表除班长、团支书必须参加（若班级建有党支部，则支部书记也指定参加），其余代表由班级民主选举产生，学生代表人数不得少于参评人数的</w:t>
      </w:r>
      <w:r>
        <w:rPr>
          <w:rFonts w:hint="eastAsia" w:ascii="宋体" w:hAnsi="宋体"/>
          <w:b/>
          <w:szCs w:val="21"/>
          <w:u w:val="single"/>
        </w:rPr>
        <w:t>30%。</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（二）记实成绩（30%）</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1.基本分60分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2.学校倡导、鼓励行为（获得荣誉、奖项）加分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018"/>
        <w:gridCol w:w="1101"/>
        <w:gridCol w:w="1279"/>
        <w:gridCol w:w="1279"/>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7"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组织单位</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国家级</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省级</w:t>
            </w:r>
          </w:p>
        </w:tc>
        <w:tc>
          <w:tcPr>
            <w:tcW w:w="1279"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市级</w:t>
            </w:r>
          </w:p>
        </w:tc>
        <w:tc>
          <w:tcPr>
            <w:tcW w:w="1279"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校级</w:t>
            </w:r>
          </w:p>
        </w:tc>
        <w:tc>
          <w:tcPr>
            <w:tcW w:w="1279"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7"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分值</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20</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15</w:t>
            </w:r>
          </w:p>
        </w:tc>
        <w:tc>
          <w:tcPr>
            <w:tcW w:w="1279"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12</w:t>
            </w:r>
          </w:p>
        </w:tc>
        <w:tc>
          <w:tcPr>
            <w:tcW w:w="1279"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szCs w:val="21"/>
              </w:rPr>
            </w:pPr>
            <w:r>
              <w:rPr>
                <w:rFonts w:hint="default" w:ascii="宋体" w:hAnsi="宋体"/>
                <w:szCs w:val="21"/>
              </w:rPr>
              <w:t>8</w:t>
            </w:r>
          </w:p>
        </w:tc>
        <w:tc>
          <w:tcPr>
            <w:tcW w:w="1279"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szCs w:val="21"/>
              </w:rPr>
            </w:pPr>
            <w:r>
              <w:rPr>
                <w:rFonts w:hint="default" w:ascii="宋体" w:hAnsi="宋体"/>
                <w:szCs w:val="21"/>
              </w:rPr>
              <w:t>4</w:t>
            </w:r>
          </w:p>
        </w:tc>
      </w:tr>
    </w:tbl>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注：优秀党支部书记、优秀党员、优秀团员、优秀团干、学风建设积极分子、</w:t>
      </w:r>
      <w:r>
        <w:rPr>
          <w:rFonts w:hint="eastAsia" w:ascii="宋体" w:hAnsi="宋体"/>
          <w:color w:val="FF0000"/>
          <w:szCs w:val="21"/>
          <w:lang w:val="en-US" w:eastAsia="zh-CN"/>
        </w:rPr>
        <w:t>团支部建设分子、</w:t>
      </w:r>
      <w:r>
        <w:rPr>
          <w:rFonts w:hint="eastAsia"/>
        </w:rPr>
        <w:t>优秀志愿者（校院认定）、优秀干事（社团优秀干事计入此项，校院级均加2分）、优秀学员、骏翎奖</w:t>
      </w:r>
      <w:r>
        <w:rPr>
          <w:rFonts w:hint="eastAsia"/>
          <w:lang w:eastAsia="zh-CN"/>
        </w:rPr>
        <w:t>、</w:t>
      </w:r>
      <w:r>
        <w:rPr>
          <w:rFonts w:hint="eastAsia"/>
          <w:lang w:val="en-US" w:eastAsia="zh-CN"/>
        </w:rPr>
        <w:t>泰隆之星、</w:t>
      </w:r>
      <w:r>
        <w:rPr>
          <w:rFonts w:hint="eastAsia"/>
          <w:color w:val="FF0000"/>
          <w:lang w:val="en-US" w:eastAsia="zh-CN"/>
        </w:rPr>
        <w:t>商大之星</w:t>
      </w:r>
      <w:r>
        <w:rPr>
          <w:rFonts w:hint="eastAsia" w:ascii="宋体" w:hAnsi="宋体"/>
          <w:szCs w:val="21"/>
        </w:rPr>
        <w:t>等荣誉称号计入此项。</w:t>
      </w:r>
      <w:r>
        <w:rPr>
          <w:rFonts w:hint="eastAsia" w:ascii="宋体" w:hAnsi="宋体"/>
          <w:szCs w:val="21"/>
          <w:lang w:eastAsia="zh-CN"/>
        </w:rPr>
        <w:t>其中，</w:t>
      </w:r>
      <w:r>
        <w:rPr>
          <w:rFonts w:hint="eastAsia" w:ascii="宋体" w:hAnsi="宋体"/>
          <w:szCs w:val="21"/>
          <w:lang w:val="en-US" w:eastAsia="zh-Hans"/>
        </w:rPr>
        <w:t>校级通报表扬加</w:t>
      </w:r>
      <w:r>
        <w:rPr>
          <w:rFonts w:hint="default" w:ascii="宋体" w:hAnsi="宋体"/>
          <w:szCs w:val="21"/>
          <w:lang w:eastAsia="zh-Hans"/>
        </w:rPr>
        <w:t>4</w:t>
      </w:r>
      <w:r>
        <w:rPr>
          <w:rFonts w:hint="eastAsia" w:ascii="宋体" w:hAnsi="宋体"/>
          <w:szCs w:val="21"/>
          <w:lang w:val="en-US" w:eastAsia="zh-Hans"/>
        </w:rPr>
        <w:t>分</w:t>
      </w:r>
      <w:r>
        <w:rPr>
          <w:rFonts w:hint="default" w:ascii="宋体" w:hAnsi="宋体"/>
          <w:szCs w:val="21"/>
          <w:lang w:eastAsia="zh-Hans"/>
        </w:rPr>
        <w:t>，</w:t>
      </w:r>
      <w:r>
        <w:rPr>
          <w:rFonts w:hint="eastAsia" w:ascii="宋体" w:hAnsi="宋体"/>
          <w:szCs w:val="21"/>
        </w:rPr>
        <w:t>院级通报表扬加2分（卡马杯初赛高于全校平均分德育加2分）。</w:t>
      </w:r>
      <w:r>
        <w:rPr>
          <w:rFonts w:hint="eastAsia" w:ascii="宋体" w:hAnsi="宋体"/>
          <w:color w:val="FF0000"/>
          <w:szCs w:val="21"/>
          <w:lang w:val="en-US" w:eastAsia="zh-CN"/>
        </w:rPr>
        <w:t>百佳寝室长参照校级通报表扬加分，千名好室友参照院级通报表扬加分，</w:t>
      </w:r>
      <w:r>
        <w:rPr>
          <w:rFonts w:hint="eastAsia" w:ascii="宋体" w:hAnsi="宋体"/>
          <w:szCs w:val="21"/>
        </w:rPr>
        <w:t>文明寝室（英语优秀寝室）等集体通报项目，每个人</w:t>
      </w:r>
      <w:r>
        <w:rPr>
          <w:rFonts w:hint="eastAsia" w:ascii="宋体" w:hAnsi="宋体"/>
          <w:szCs w:val="21"/>
          <w:lang w:val="en-US" w:eastAsia="zh-Hans"/>
        </w:rPr>
        <w:t>各</w:t>
      </w:r>
      <w:r>
        <w:rPr>
          <w:rFonts w:hint="eastAsia" w:ascii="宋体" w:hAnsi="宋体"/>
          <w:szCs w:val="21"/>
        </w:rPr>
        <w:t>加0.5分。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3.学校反对并予以纪律处分行为减分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160"/>
        <w:gridCol w:w="1271"/>
        <w:gridCol w:w="1263"/>
        <w:gridCol w:w="1248"/>
        <w:gridCol w:w="109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等级</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违法</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留校察看</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记过</w:t>
            </w:r>
          </w:p>
        </w:tc>
        <w:tc>
          <w:tcPr>
            <w:tcW w:w="1248"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严重警告</w:t>
            </w:r>
          </w:p>
        </w:tc>
        <w:tc>
          <w:tcPr>
            <w:tcW w:w="1092"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警告</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分值</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 w:val="18"/>
                <w:szCs w:val="18"/>
              </w:rPr>
            </w:pPr>
            <w:r>
              <w:rPr>
                <w:rFonts w:hint="eastAsia" w:ascii="宋体" w:hAnsi="宋体"/>
                <w:sz w:val="18"/>
                <w:szCs w:val="18"/>
              </w:rPr>
              <w:t>-20</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 w:val="18"/>
                <w:szCs w:val="18"/>
              </w:rPr>
            </w:pPr>
            <w:r>
              <w:rPr>
                <w:rFonts w:hint="eastAsia" w:ascii="宋体" w:hAnsi="宋体"/>
                <w:sz w:val="18"/>
                <w:szCs w:val="18"/>
              </w:rPr>
              <w:t>-10</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 w:val="18"/>
                <w:szCs w:val="18"/>
              </w:rPr>
            </w:pPr>
            <w:r>
              <w:rPr>
                <w:rFonts w:hint="eastAsia" w:ascii="宋体" w:hAnsi="宋体"/>
                <w:sz w:val="18"/>
                <w:szCs w:val="18"/>
              </w:rPr>
              <w:t>-9</w:t>
            </w:r>
          </w:p>
        </w:tc>
        <w:tc>
          <w:tcPr>
            <w:tcW w:w="1248"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 w:val="18"/>
                <w:szCs w:val="18"/>
              </w:rPr>
            </w:pPr>
            <w:r>
              <w:rPr>
                <w:rFonts w:hint="eastAsia" w:ascii="宋体" w:hAnsi="宋体"/>
                <w:sz w:val="18"/>
                <w:szCs w:val="18"/>
              </w:rPr>
              <w:t>-5</w:t>
            </w:r>
          </w:p>
        </w:tc>
        <w:tc>
          <w:tcPr>
            <w:tcW w:w="1092"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 w:val="18"/>
                <w:szCs w:val="18"/>
              </w:rPr>
            </w:pPr>
            <w:r>
              <w:rPr>
                <w:rFonts w:hint="eastAsia" w:ascii="宋体" w:hAnsi="宋体"/>
                <w:sz w:val="18"/>
                <w:szCs w:val="18"/>
              </w:rPr>
              <w:t>-3</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 w:val="18"/>
                <w:szCs w:val="18"/>
              </w:rPr>
            </w:pPr>
            <w:r>
              <w:rPr>
                <w:rFonts w:hint="eastAsia" w:ascii="宋体" w:hAnsi="宋体"/>
                <w:sz w:val="18"/>
                <w:szCs w:val="18"/>
              </w:rPr>
              <w:t>-2</w:t>
            </w:r>
          </w:p>
        </w:tc>
      </w:tr>
    </w:tbl>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注：院级通报批评减1分</w:t>
      </w:r>
      <w:r>
        <w:rPr>
          <w:rFonts w:hint="default" w:ascii="宋体" w:hAnsi="宋体"/>
          <w:szCs w:val="21"/>
        </w:rPr>
        <w:t>，</w:t>
      </w:r>
      <w:r>
        <w:rPr>
          <w:rFonts w:hint="eastAsia" w:ascii="宋体" w:hAnsi="宋体"/>
          <w:szCs w:val="21"/>
        </w:rPr>
        <w:t>院级警告减2分。文明寝室等集体通报项目，每个人</w:t>
      </w:r>
      <w:r>
        <w:rPr>
          <w:rFonts w:hint="eastAsia" w:ascii="宋体" w:hAnsi="宋体"/>
          <w:szCs w:val="21"/>
          <w:lang w:val="en-US" w:eastAsia="zh-Hans"/>
        </w:rPr>
        <w:t>各</w:t>
      </w:r>
      <w:r>
        <w:rPr>
          <w:rFonts w:hint="eastAsia" w:ascii="宋体" w:hAnsi="宋体"/>
          <w:szCs w:val="21"/>
        </w:rPr>
        <w:t>扣0.5分。寝室违禁电器检查按照通报批评处理，以寝室为单位查到一次，如果有责任人，则责任人扣2分；如果没有责任人，寝室成员每人扣1分。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4.集体荣誉加分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在评价期限内班级学风建设获得一次</w:t>
      </w:r>
      <w:r>
        <w:rPr>
          <w:rFonts w:hint="eastAsia" w:ascii="宋体" w:hAnsi="宋体"/>
          <w:color w:val="FF0000"/>
          <w:szCs w:val="21"/>
          <w:lang w:val="en-US" w:eastAsia="zh-CN"/>
        </w:rPr>
        <w:t>院</w:t>
      </w:r>
      <w:r>
        <w:rPr>
          <w:rFonts w:hint="eastAsia" w:ascii="宋体" w:hAnsi="宋体"/>
          <w:szCs w:val="21"/>
        </w:rPr>
        <w:t>“学风优良班”加5分，校“学风特优班”加10分，</w:t>
      </w:r>
      <w:r>
        <w:rPr>
          <w:rFonts w:hint="eastAsia" w:ascii="宋体" w:hAnsi="宋体"/>
          <w:color w:val="FF0000"/>
          <w:szCs w:val="21"/>
        </w:rPr>
        <w:t>校“学风</w:t>
      </w:r>
      <w:r>
        <w:rPr>
          <w:rFonts w:hint="eastAsia" w:ascii="宋体" w:hAnsi="宋体"/>
          <w:color w:val="FF0000"/>
          <w:szCs w:val="21"/>
          <w:lang w:val="en-US" w:eastAsia="zh-CN"/>
        </w:rPr>
        <w:t>特优班提名</w:t>
      </w:r>
      <w:r>
        <w:rPr>
          <w:rFonts w:hint="eastAsia" w:ascii="宋体" w:hAnsi="宋体"/>
          <w:color w:val="FF0000"/>
          <w:szCs w:val="21"/>
        </w:rPr>
        <w:t>”加8分</w:t>
      </w:r>
      <w:r>
        <w:rPr>
          <w:rFonts w:hint="eastAsia" w:ascii="宋体" w:hAnsi="宋体"/>
          <w:color w:val="FF0000"/>
          <w:szCs w:val="21"/>
          <w:lang w:eastAsia="zh-CN"/>
        </w:rPr>
        <w:t>，</w:t>
      </w:r>
      <w:r>
        <w:rPr>
          <w:rFonts w:hint="eastAsia" w:ascii="宋体" w:hAnsi="宋体"/>
          <w:color w:val="FF0000"/>
          <w:szCs w:val="21"/>
          <w:lang w:val="en-US" w:eastAsia="zh-CN"/>
        </w:rPr>
        <w:t>学校与学院学风建设荣誉不累加</w:t>
      </w:r>
      <w:r>
        <w:rPr>
          <w:rFonts w:hint="eastAsia" w:ascii="宋体" w:hAnsi="宋体"/>
          <w:szCs w:val="21"/>
        </w:rPr>
        <w:t>。</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一次院级“优秀团支部”加2分，校先进团支部加5分，校五四红旗团支部加8分，省级活力团支部加10分。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一次校级“优秀团日活动”加5分，一次校级“十佳团日活动”加8分。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eastAsia" w:ascii="宋体" w:hAnsi="宋体"/>
          <w:szCs w:val="21"/>
        </w:rPr>
      </w:pPr>
      <w:r>
        <w:rPr>
          <w:rFonts w:hint="eastAsia" w:ascii="宋体" w:hAnsi="宋体"/>
          <w:szCs w:val="21"/>
        </w:rPr>
        <w:t>一次院级青年大学习通报表扬加2分。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default" w:ascii="宋体" w:hAnsi="宋体" w:eastAsia="宋体"/>
          <w:color w:val="FF0000"/>
          <w:szCs w:val="21"/>
          <w:lang w:val="en-US" w:eastAsia="zh-CN"/>
        </w:rPr>
      </w:pPr>
      <w:r>
        <w:rPr>
          <w:rFonts w:hint="eastAsia" w:ascii="宋体" w:hAnsi="宋体"/>
          <w:color w:val="FF0000"/>
          <w:szCs w:val="21"/>
          <w:lang w:val="en-US" w:eastAsia="zh-CN"/>
        </w:rPr>
        <w:t>一次院级青牛码学习通报表扬加2分。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同一事项校级荣誉与院级荣誉不累加。</w:t>
      </w:r>
      <w:bookmarkStart w:id="0" w:name="_GoBack"/>
      <w:bookmarkEnd w:id="0"/>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注：学生集体荣誉的记实</w:t>
      </w:r>
      <w:r>
        <w:rPr>
          <w:rFonts w:hint="eastAsia" w:ascii="宋体" w:hAnsi="宋体"/>
          <w:b/>
          <w:szCs w:val="21"/>
        </w:rPr>
        <w:t>基本成绩</w:t>
      </w:r>
      <w:r>
        <w:rPr>
          <w:rFonts w:hint="eastAsia" w:ascii="宋体" w:hAnsi="宋体"/>
          <w:szCs w:val="21"/>
        </w:rPr>
        <w:t>加分累计不超过</w:t>
      </w:r>
      <w:r>
        <w:rPr>
          <w:rFonts w:hint="default" w:ascii="宋体" w:hAnsi="宋体"/>
          <w:szCs w:val="21"/>
        </w:rPr>
        <w:t>20</w:t>
      </w:r>
      <w:r>
        <w:rPr>
          <w:rFonts w:hint="eastAsia" w:ascii="宋体" w:hAnsi="宋体"/>
          <w:szCs w:val="21"/>
        </w:rPr>
        <w:t>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5.参与活动加分（专业素质附加分项和综合能力加分项规定的加分项目除外）</w:t>
      </w:r>
    </w:p>
    <w:p>
      <w:pPr>
        <w:keepNext w:val="0"/>
        <w:keepLines w:val="0"/>
        <w:pageBreakBefore w:val="0"/>
        <w:kinsoku/>
        <w:wordWrap/>
        <w:overflowPunct/>
        <w:topLinePunct w:val="0"/>
        <w:autoSpaceDE/>
        <w:autoSpaceDN/>
        <w:bidi w:val="0"/>
        <w:adjustRightInd/>
        <w:spacing w:line="0" w:lineRule="atLeast"/>
        <w:ind w:firstLine="420" w:firstLineChars="200"/>
        <w:jc w:val="both"/>
        <w:textAlignment w:val="auto"/>
        <w:rPr>
          <w:rFonts w:ascii="宋体" w:hAnsi="宋体"/>
          <w:szCs w:val="21"/>
        </w:rPr>
      </w:pPr>
      <w:r>
        <w:rPr>
          <w:rFonts w:hint="eastAsia" w:ascii="宋体" w:hAnsi="宋体"/>
          <w:szCs w:val="21"/>
        </w:rPr>
        <w:t>（1）学生作为非竞赛类参与者参加校、院指定参与讲座、活动加</w:t>
      </w:r>
      <w:r>
        <w:rPr>
          <w:rFonts w:hint="eastAsia" w:ascii="宋体" w:hAnsi="宋体"/>
          <w:color w:val="FF0000"/>
          <w:szCs w:val="21"/>
          <w:lang w:val="en-US" w:eastAsia="zh-CN"/>
        </w:rPr>
        <w:t>0.5</w:t>
      </w:r>
      <w:r>
        <w:rPr>
          <w:rFonts w:hint="eastAsia" w:ascii="宋体" w:hAnsi="宋体"/>
          <w:color w:val="FF0000"/>
          <w:szCs w:val="21"/>
        </w:rPr>
        <w:t>分/次</w:t>
      </w:r>
      <w:r>
        <w:rPr>
          <w:rFonts w:hint="eastAsia" w:ascii="宋体" w:hAnsi="宋体"/>
          <w:szCs w:val="21"/>
        </w:rPr>
        <w:t>，以相关通知内容作为认定依据。</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注：学生参与活动总加分不超过</w:t>
      </w:r>
      <w:r>
        <w:rPr>
          <w:rFonts w:hint="default" w:ascii="宋体" w:hAnsi="宋体"/>
          <w:szCs w:val="21"/>
        </w:rPr>
        <w:t>20</w:t>
      </w:r>
      <w:r>
        <w:rPr>
          <w:rFonts w:hint="eastAsia" w:ascii="宋体" w:hAnsi="宋体"/>
          <w:szCs w:val="21"/>
        </w:rPr>
        <w:t>分。</w:t>
      </w:r>
    </w:p>
    <w:p>
      <w:pPr>
        <w:keepNext w:val="0"/>
        <w:keepLines w:val="0"/>
        <w:pageBreakBefore w:val="0"/>
        <w:kinsoku/>
        <w:wordWrap/>
        <w:overflowPunct/>
        <w:topLinePunct w:val="0"/>
        <w:autoSpaceDE/>
        <w:autoSpaceDN/>
        <w:bidi w:val="0"/>
        <w:adjustRightInd/>
        <w:spacing w:line="300" w:lineRule="auto"/>
        <w:jc w:val="both"/>
        <w:textAlignment w:val="auto"/>
        <w:rPr>
          <w:rFonts w:ascii="宋体" w:hAnsi="宋体"/>
          <w:b/>
          <w:szCs w:val="21"/>
        </w:rPr>
      </w:pPr>
      <w:r>
        <w:rPr>
          <w:rFonts w:hint="eastAsia" w:ascii="宋体" w:hAnsi="宋体"/>
          <w:b/>
          <w:szCs w:val="21"/>
        </w:rPr>
        <w:t>二、专业素质评价</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（一）专业素质分（适用于</w:t>
      </w:r>
      <w:r>
        <w:rPr>
          <w:rFonts w:ascii="宋体" w:hAnsi="宋体"/>
          <w:szCs w:val="21"/>
        </w:rPr>
        <w:t>2019</w:t>
      </w:r>
      <w:r>
        <w:rPr>
          <w:rFonts w:hint="eastAsia" w:ascii="宋体" w:hAnsi="宋体"/>
          <w:szCs w:val="21"/>
        </w:rPr>
        <w:t>、</w:t>
      </w:r>
      <w:r>
        <w:rPr>
          <w:rFonts w:ascii="宋体" w:hAnsi="宋体"/>
          <w:szCs w:val="21"/>
        </w:rPr>
        <w:t>2020</w:t>
      </w:r>
      <w:r>
        <w:rPr>
          <w:rFonts w:hint="eastAsia" w:ascii="宋体" w:hAnsi="宋体"/>
          <w:szCs w:val="21"/>
        </w:rPr>
        <w:t>级）=∑（</w:t>
      </w:r>
      <w:r>
        <w:rPr>
          <w:rFonts w:hint="eastAsia" w:ascii="宋体" w:hAnsi="宋体"/>
          <w:b/>
          <w:szCs w:val="21"/>
          <w:u w:val="single"/>
        </w:rPr>
        <w:t>必修课程</w:t>
      </w:r>
      <w:r>
        <w:rPr>
          <w:rFonts w:hint="eastAsia" w:ascii="宋体" w:hAnsi="宋体"/>
          <w:szCs w:val="21"/>
        </w:rPr>
        <w:t>和</w:t>
      </w:r>
      <w:r>
        <w:rPr>
          <w:rFonts w:hint="eastAsia" w:ascii="宋体" w:hAnsi="宋体"/>
          <w:b/>
          <w:szCs w:val="21"/>
          <w:u w:val="single"/>
        </w:rPr>
        <w:t>专业选修课程</w:t>
      </w:r>
      <w:r>
        <w:rPr>
          <w:rFonts w:hint="eastAsia" w:ascii="宋体" w:hAnsi="宋体"/>
          <w:szCs w:val="21"/>
        </w:rPr>
        <w:t>成绩×课程学分）/∑</w:t>
      </w:r>
      <w:r>
        <w:rPr>
          <w:rFonts w:hint="eastAsia" w:ascii="宋体" w:hAnsi="宋体"/>
          <w:b/>
          <w:szCs w:val="21"/>
          <w:u w:val="single"/>
        </w:rPr>
        <w:t>必修课程和专业选修课程</w:t>
      </w:r>
      <w:r>
        <w:rPr>
          <w:rFonts w:hint="eastAsia" w:ascii="宋体" w:hAnsi="宋体"/>
          <w:szCs w:val="21"/>
        </w:rPr>
        <w:t>学分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专业素质分（从</w:t>
      </w:r>
      <w:r>
        <w:rPr>
          <w:rFonts w:ascii="宋体" w:hAnsi="宋体"/>
          <w:szCs w:val="21"/>
        </w:rPr>
        <w:t>2021</w:t>
      </w:r>
      <w:r>
        <w:rPr>
          <w:rFonts w:hint="eastAsia" w:ascii="宋体" w:hAnsi="宋体"/>
          <w:szCs w:val="21"/>
        </w:rPr>
        <w:t>级开始施行）=∑（</w:t>
      </w:r>
      <w:r>
        <w:rPr>
          <w:rFonts w:hint="eastAsia" w:ascii="宋体" w:hAnsi="宋体"/>
          <w:b/>
          <w:szCs w:val="21"/>
          <w:u w:val="single"/>
        </w:rPr>
        <w:t>所有课程</w:t>
      </w:r>
      <w:r>
        <w:rPr>
          <w:rFonts w:hint="eastAsia" w:ascii="宋体" w:hAnsi="宋体"/>
          <w:szCs w:val="21"/>
        </w:rPr>
        <w:t>成绩×课程学分）/∑</w:t>
      </w:r>
      <w:r>
        <w:rPr>
          <w:rFonts w:hint="eastAsia" w:ascii="宋体" w:hAnsi="宋体"/>
          <w:b/>
          <w:szCs w:val="21"/>
          <w:u w:val="single"/>
        </w:rPr>
        <w:t>所有课程</w:t>
      </w:r>
      <w:r>
        <w:rPr>
          <w:rFonts w:hint="eastAsia" w:ascii="宋体" w:hAnsi="宋体"/>
          <w:szCs w:val="21"/>
        </w:rPr>
        <w:t>学分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注：1.考查课成绩评定为合格、不合格的，按75分、45分计算；成绩评定为优秀、良好、中等、及格、不及格的，按95分、85分、75分、65分、45分计算。</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2.考查课程成绩</w:t>
      </w:r>
      <w:r>
        <w:rPr>
          <w:rFonts w:hint="eastAsia" w:ascii="宋体" w:hAnsi="宋体"/>
          <w:b/>
          <w:szCs w:val="21"/>
          <w:u w:val="single"/>
        </w:rPr>
        <w:t>以期末考试成绩为准</w:t>
      </w:r>
      <w:r>
        <w:rPr>
          <w:rFonts w:hint="eastAsia" w:ascii="宋体" w:hAnsi="宋体"/>
          <w:szCs w:val="21"/>
        </w:rPr>
        <w:t>（</w:t>
      </w:r>
      <w:r>
        <w:rPr>
          <w:rFonts w:hint="eastAsia" w:ascii="宋体" w:hAnsi="宋体"/>
          <w:szCs w:val="21"/>
          <w:u w:val="single"/>
        </w:rPr>
        <w:t>课程补考</w:t>
      </w:r>
      <w:r>
        <w:rPr>
          <w:rFonts w:hint="default" w:ascii="宋体" w:hAnsi="宋体"/>
          <w:szCs w:val="21"/>
          <w:u w:val="single"/>
        </w:rPr>
        <w:t>、</w:t>
      </w:r>
      <w:r>
        <w:rPr>
          <w:rFonts w:hint="eastAsia" w:ascii="宋体" w:hAnsi="宋体"/>
          <w:szCs w:val="21"/>
          <w:u w:val="single"/>
          <w:lang w:val="en-US" w:eastAsia="zh-Hans"/>
        </w:rPr>
        <w:t>重学</w:t>
      </w:r>
      <w:r>
        <w:rPr>
          <w:rFonts w:hint="eastAsia" w:ascii="宋体" w:hAnsi="宋体"/>
          <w:szCs w:val="21"/>
          <w:u w:val="single"/>
        </w:rPr>
        <w:t>成绩不作为计算依据</w:t>
      </w:r>
      <w:r>
        <w:rPr>
          <w:rFonts w:hint="eastAsia" w:ascii="宋体" w:hAnsi="宋体"/>
          <w:szCs w:val="21"/>
        </w:rPr>
        <w:t>）。</w:t>
      </w:r>
    </w:p>
    <w:p>
      <w:pPr>
        <w:keepNext w:val="0"/>
        <w:keepLines w:val="0"/>
        <w:pageBreakBefore w:val="0"/>
        <w:kinsoku/>
        <w:wordWrap/>
        <w:overflowPunct/>
        <w:topLinePunct w:val="0"/>
        <w:autoSpaceDE/>
        <w:autoSpaceDN/>
        <w:bidi w:val="0"/>
        <w:adjustRightInd/>
        <w:spacing w:line="300" w:lineRule="auto"/>
        <w:ind w:firstLine="422" w:firstLineChars="200"/>
        <w:jc w:val="both"/>
        <w:textAlignment w:val="auto"/>
        <w:rPr>
          <w:rFonts w:hint="eastAsia" w:ascii="宋体" w:hAnsi="宋体"/>
          <w:b/>
          <w:szCs w:val="21"/>
        </w:rPr>
      </w:pPr>
      <w:r>
        <w:rPr>
          <w:rFonts w:hint="eastAsia" w:ascii="宋体" w:hAnsi="宋体"/>
          <w:b/>
          <w:szCs w:val="21"/>
        </w:rPr>
        <w:t xml:space="preserve">   </w:t>
      </w:r>
    </w:p>
    <w:p>
      <w:pPr>
        <w:keepNext w:val="0"/>
        <w:keepLines w:val="0"/>
        <w:pageBreakBefore w:val="0"/>
        <w:kinsoku/>
        <w:wordWrap/>
        <w:overflowPunct/>
        <w:topLinePunct w:val="0"/>
        <w:autoSpaceDE/>
        <w:autoSpaceDN/>
        <w:bidi w:val="0"/>
        <w:adjustRightInd/>
        <w:spacing w:line="300" w:lineRule="auto"/>
        <w:ind w:firstLine="422" w:firstLineChars="200"/>
        <w:jc w:val="both"/>
        <w:textAlignment w:val="auto"/>
        <w:rPr>
          <w:rFonts w:hint="eastAsia" w:ascii="宋体" w:hAnsi="宋体"/>
          <w:b/>
          <w:szCs w:val="21"/>
        </w:rPr>
      </w:pPr>
    </w:p>
    <w:p>
      <w:pPr>
        <w:keepNext w:val="0"/>
        <w:keepLines w:val="0"/>
        <w:pageBreakBefore w:val="0"/>
        <w:kinsoku/>
        <w:wordWrap/>
        <w:overflowPunct/>
        <w:topLinePunct w:val="0"/>
        <w:autoSpaceDE/>
        <w:autoSpaceDN/>
        <w:bidi w:val="0"/>
        <w:adjustRightInd/>
        <w:spacing w:line="300" w:lineRule="auto"/>
        <w:jc w:val="center"/>
        <w:textAlignment w:val="auto"/>
        <w:rPr>
          <w:rFonts w:ascii="宋体" w:hAnsi="宋体"/>
          <w:b/>
          <w:sz w:val="24"/>
          <w:szCs w:val="24"/>
        </w:rPr>
      </w:pPr>
      <w:r>
        <w:rPr>
          <w:rFonts w:hint="eastAsia" w:ascii="宋体" w:hAnsi="宋体"/>
          <w:b/>
          <w:sz w:val="24"/>
          <w:szCs w:val="24"/>
        </w:rPr>
        <w:t>综合能力：综合能力</w:t>
      </w:r>
      <w:r>
        <w:rPr>
          <w:rFonts w:hint="eastAsia" w:ascii="宋体" w:hAnsi="宋体"/>
          <w:b/>
          <w:sz w:val="24"/>
          <w:szCs w:val="24"/>
          <w:lang w:val="en-US" w:eastAsia="zh-Hans"/>
        </w:rPr>
        <w:t>评价</w:t>
      </w:r>
      <w:r>
        <w:rPr>
          <w:rFonts w:hint="eastAsia" w:ascii="宋体" w:hAnsi="宋体"/>
          <w:b/>
          <w:sz w:val="24"/>
          <w:szCs w:val="24"/>
        </w:rPr>
        <w:t>得分=75+研究创新×30%+专业技能×25%+组织</w:t>
      </w:r>
      <w:r>
        <w:rPr>
          <w:rFonts w:hint="eastAsia" w:ascii="宋体" w:hAnsi="宋体"/>
          <w:b/>
          <w:sz w:val="24"/>
          <w:szCs w:val="24"/>
          <w:lang w:val="en-US" w:eastAsia="zh-Hans"/>
        </w:rPr>
        <w:t>工作</w:t>
      </w:r>
      <w:r>
        <w:rPr>
          <w:rFonts w:hint="eastAsia" w:ascii="宋体" w:hAnsi="宋体"/>
          <w:b/>
          <w:sz w:val="24"/>
          <w:szCs w:val="24"/>
        </w:rPr>
        <w:t>×15%+</w:t>
      </w:r>
      <w:r>
        <w:rPr>
          <w:rFonts w:hint="eastAsia" w:ascii="宋体" w:hAnsi="宋体"/>
          <w:b/>
          <w:sz w:val="24"/>
          <w:szCs w:val="24"/>
          <w:lang w:val="en-US" w:eastAsia="zh-Hans"/>
        </w:rPr>
        <w:t>体育美育</w:t>
      </w:r>
      <w:r>
        <w:rPr>
          <w:rFonts w:hint="eastAsia" w:ascii="宋体" w:hAnsi="宋体"/>
          <w:b/>
          <w:sz w:val="24"/>
          <w:szCs w:val="24"/>
        </w:rPr>
        <w:t>×15%+</w:t>
      </w:r>
      <w:r>
        <w:rPr>
          <w:rFonts w:hint="eastAsia" w:ascii="宋体" w:hAnsi="宋体"/>
          <w:b/>
          <w:sz w:val="24"/>
          <w:szCs w:val="24"/>
          <w:lang w:val="en-US" w:eastAsia="zh-Hans"/>
        </w:rPr>
        <w:t>劳动教育和实践</w:t>
      </w:r>
      <w:r>
        <w:rPr>
          <w:rFonts w:hint="eastAsia" w:ascii="宋体" w:hAnsi="宋体"/>
          <w:b/>
          <w:sz w:val="24"/>
          <w:szCs w:val="24"/>
        </w:rPr>
        <w:t>×15%</w:t>
      </w:r>
    </w:p>
    <w:p>
      <w:pPr>
        <w:keepNext w:val="0"/>
        <w:keepLines w:val="0"/>
        <w:pageBreakBefore w:val="0"/>
        <w:kinsoku/>
        <w:wordWrap/>
        <w:overflowPunct/>
        <w:topLinePunct w:val="0"/>
        <w:autoSpaceDE/>
        <w:autoSpaceDN/>
        <w:bidi w:val="0"/>
        <w:adjustRightInd/>
        <w:spacing w:line="300" w:lineRule="auto"/>
        <w:jc w:val="both"/>
        <w:textAlignment w:val="auto"/>
        <w:rPr>
          <w:rFonts w:ascii="宋体" w:hAnsi="宋体"/>
          <w:b/>
          <w:bCs/>
          <w:szCs w:val="21"/>
        </w:rPr>
      </w:pPr>
      <w:r>
        <w:rPr>
          <w:rFonts w:hint="eastAsia" w:ascii="宋体" w:hAnsi="宋体"/>
          <w:b/>
          <w:bCs/>
          <w:szCs w:val="21"/>
          <w:lang w:val="en-US" w:eastAsia="zh-Hans"/>
        </w:rPr>
        <w:t>一</w:t>
      </w:r>
      <w:r>
        <w:rPr>
          <w:rFonts w:hint="default" w:ascii="宋体" w:hAnsi="宋体"/>
          <w:b/>
          <w:bCs/>
          <w:szCs w:val="21"/>
          <w:lang w:eastAsia="zh-Hans"/>
        </w:rPr>
        <w:t>、</w:t>
      </w:r>
      <w:r>
        <w:rPr>
          <w:rFonts w:hint="eastAsia" w:ascii="宋体" w:hAnsi="宋体"/>
          <w:b/>
          <w:bCs/>
          <w:szCs w:val="21"/>
        </w:rPr>
        <w:t>基本分为75分</w:t>
      </w:r>
    </w:p>
    <w:p>
      <w:pPr>
        <w:keepNext w:val="0"/>
        <w:keepLines w:val="0"/>
        <w:pageBreakBefore w:val="0"/>
        <w:kinsoku/>
        <w:wordWrap/>
        <w:overflowPunct/>
        <w:topLinePunct w:val="0"/>
        <w:autoSpaceDE/>
        <w:autoSpaceDN/>
        <w:bidi w:val="0"/>
        <w:adjustRightInd/>
        <w:spacing w:line="300" w:lineRule="auto"/>
        <w:jc w:val="both"/>
        <w:textAlignment w:val="auto"/>
        <w:rPr>
          <w:rFonts w:ascii="宋体" w:hAnsi="宋体"/>
          <w:b/>
          <w:szCs w:val="21"/>
          <w:u w:val="single"/>
        </w:rPr>
      </w:pPr>
      <w:r>
        <w:rPr>
          <w:rFonts w:hint="eastAsia" w:ascii="宋体" w:hAnsi="宋体"/>
          <w:b/>
          <w:szCs w:val="21"/>
          <w:lang w:val="en-US" w:eastAsia="zh-Hans"/>
        </w:rPr>
        <w:t>二</w:t>
      </w:r>
      <w:r>
        <w:rPr>
          <w:rFonts w:hint="eastAsia" w:ascii="宋体" w:hAnsi="宋体"/>
          <w:b/>
          <w:szCs w:val="21"/>
        </w:rPr>
        <w:t>、</w:t>
      </w:r>
      <w:r>
        <w:rPr>
          <w:rFonts w:hint="eastAsia" w:ascii="宋体" w:hAnsi="宋体"/>
          <w:b/>
          <w:szCs w:val="21"/>
          <w:u w:val="none"/>
        </w:rPr>
        <w:t>研究创新（30%）</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 xml:space="preserve">（一）学科竞赛奖励纪实标准参考值（A类）：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849"/>
        <w:gridCol w:w="2198"/>
        <w:gridCol w:w="1480"/>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17"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国家级</w:t>
            </w:r>
          </w:p>
        </w:tc>
        <w:tc>
          <w:tcPr>
            <w:tcW w:w="1849"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一等50分</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二等35分</w:t>
            </w:r>
          </w:p>
        </w:tc>
        <w:tc>
          <w:tcPr>
            <w:tcW w:w="148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三等30分</w:t>
            </w:r>
          </w:p>
        </w:tc>
        <w:tc>
          <w:tcPr>
            <w:tcW w:w="148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其他20分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17"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省部级</w:t>
            </w:r>
          </w:p>
        </w:tc>
        <w:tc>
          <w:tcPr>
            <w:tcW w:w="1849"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一等30分</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二等20分</w:t>
            </w:r>
          </w:p>
        </w:tc>
        <w:tc>
          <w:tcPr>
            <w:tcW w:w="148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三等15分</w:t>
            </w:r>
          </w:p>
        </w:tc>
        <w:tc>
          <w:tcPr>
            <w:tcW w:w="1480"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其他10分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17"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市级</w:t>
            </w:r>
          </w:p>
        </w:tc>
        <w:tc>
          <w:tcPr>
            <w:tcW w:w="1849"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一等20分</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二等15分</w:t>
            </w:r>
          </w:p>
        </w:tc>
        <w:tc>
          <w:tcPr>
            <w:tcW w:w="148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三等10分</w:t>
            </w:r>
          </w:p>
        </w:tc>
        <w:tc>
          <w:tcPr>
            <w:tcW w:w="1480"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其他4分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校级</w:t>
            </w:r>
          </w:p>
        </w:tc>
        <w:tc>
          <w:tcPr>
            <w:tcW w:w="1849"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一等12分</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二等8分</w:t>
            </w:r>
          </w:p>
        </w:tc>
        <w:tc>
          <w:tcPr>
            <w:tcW w:w="148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三等5分</w:t>
            </w:r>
          </w:p>
        </w:tc>
        <w:tc>
          <w:tcPr>
            <w:tcW w:w="1480"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其他1分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院级</w:t>
            </w:r>
          </w:p>
        </w:tc>
        <w:tc>
          <w:tcPr>
            <w:tcW w:w="1849"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一等5分</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二等3分</w:t>
            </w:r>
          </w:p>
        </w:tc>
        <w:tc>
          <w:tcPr>
            <w:tcW w:w="148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三等2分</w:t>
            </w:r>
          </w:p>
        </w:tc>
        <w:tc>
          <w:tcPr>
            <w:tcW w:w="1480"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其他0.5分</w:t>
            </w:r>
          </w:p>
        </w:tc>
      </w:tr>
    </w:tbl>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注：</w:t>
      </w:r>
      <w:r>
        <w:rPr>
          <w:rFonts w:ascii="宋体" w:hAnsi="宋体"/>
          <w:szCs w:val="21"/>
        </w:rPr>
        <w:t>学科竞赛项目范围、项目级别按</w:t>
      </w:r>
      <w:r>
        <w:rPr>
          <w:rFonts w:hint="eastAsia" w:ascii="宋体" w:hAnsi="宋体"/>
          <w:szCs w:val="21"/>
          <w:lang w:val="en-US" w:eastAsia="zh-CN"/>
        </w:rPr>
        <w:t>学校公布的最新</w:t>
      </w:r>
      <w:r>
        <w:rPr>
          <w:rFonts w:hint="eastAsia" w:ascii="宋体" w:hAnsi="宋体"/>
          <w:szCs w:val="21"/>
        </w:rPr>
        <w:t>大学生学科竞赛（A+B类）</w:t>
      </w:r>
      <w:r>
        <w:rPr>
          <w:rFonts w:hint="eastAsia" w:ascii="宋体" w:hAnsi="宋体"/>
          <w:szCs w:val="21"/>
          <w:lang w:val="en-US" w:eastAsia="zh-CN"/>
        </w:rPr>
        <w:t>文件</w:t>
      </w:r>
      <w:r>
        <w:rPr>
          <w:rFonts w:ascii="宋体" w:hAnsi="宋体"/>
          <w:szCs w:val="21"/>
        </w:rPr>
        <w:t>执行</w:t>
      </w:r>
      <w:r>
        <w:rPr>
          <w:rFonts w:hint="eastAsia" w:ascii="宋体" w:hAnsi="宋体"/>
          <w:szCs w:val="21"/>
        </w:rPr>
        <w:t>，B类竞赛按照A类0.5的系数加分；“挑战杯”与“互联网+”竞赛按照A类1.8的系数加分；</w:t>
      </w:r>
      <w:r>
        <w:rPr>
          <w:rFonts w:ascii="宋体" w:hAnsi="宋体"/>
          <w:color w:val="FF0000"/>
          <w:szCs w:val="21"/>
        </w:rPr>
        <w:t>国家级、省级、校级、院级学生创新项目</w:t>
      </w:r>
      <w:r>
        <w:rPr>
          <w:rFonts w:hint="eastAsia" w:ascii="宋体" w:hAnsi="宋体"/>
          <w:color w:val="FF0000"/>
          <w:szCs w:val="21"/>
          <w:lang w:val="en-US" w:eastAsia="zh-Hans"/>
        </w:rPr>
        <w:t>立项</w:t>
      </w:r>
      <w:r>
        <w:rPr>
          <w:rFonts w:hint="eastAsia" w:ascii="宋体" w:hAnsi="宋体"/>
          <w:color w:val="FF0000"/>
          <w:szCs w:val="21"/>
          <w:lang w:val="en-US" w:eastAsia="zh-CN"/>
        </w:rPr>
        <w:t>成功</w:t>
      </w:r>
      <w:r>
        <w:rPr>
          <w:rFonts w:hint="eastAsia" w:ascii="宋体" w:hAnsi="宋体"/>
          <w:color w:val="FF0000"/>
          <w:szCs w:val="21"/>
        </w:rPr>
        <w:t>即可按照</w:t>
      </w:r>
      <w:r>
        <w:rPr>
          <w:rFonts w:ascii="宋体" w:hAnsi="宋体"/>
          <w:color w:val="FF0000"/>
          <w:szCs w:val="21"/>
        </w:rPr>
        <w:t>对应等级三等奖</w:t>
      </w:r>
      <w:r>
        <w:rPr>
          <w:rFonts w:hint="eastAsia" w:ascii="宋体" w:hAnsi="宋体"/>
          <w:color w:val="FF0000"/>
          <w:szCs w:val="21"/>
          <w:lang w:val="en-US" w:eastAsia="zh-CN"/>
        </w:rPr>
        <w:t>减半加分</w:t>
      </w:r>
      <w:r>
        <w:rPr>
          <w:rFonts w:hint="eastAsia" w:ascii="宋体" w:hAnsi="宋体"/>
          <w:color w:val="FF0000"/>
          <w:szCs w:val="21"/>
          <w:lang w:eastAsia="zh-CN"/>
        </w:rPr>
        <w:t>，</w:t>
      </w:r>
      <w:r>
        <w:rPr>
          <w:rFonts w:hint="eastAsia" w:ascii="宋体" w:hAnsi="宋体"/>
          <w:color w:val="FF0000"/>
          <w:szCs w:val="21"/>
          <w:lang w:val="en-US" w:eastAsia="zh-CN"/>
        </w:rPr>
        <w:t>结题成功另按照</w:t>
      </w:r>
      <w:r>
        <w:rPr>
          <w:rFonts w:ascii="宋体" w:hAnsi="宋体"/>
          <w:color w:val="FF0000"/>
          <w:szCs w:val="21"/>
        </w:rPr>
        <w:t>对应等级三等奖</w:t>
      </w:r>
      <w:r>
        <w:rPr>
          <w:rFonts w:hint="eastAsia" w:ascii="宋体" w:hAnsi="宋体"/>
          <w:color w:val="FF0000"/>
          <w:szCs w:val="21"/>
          <w:lang w:val="en-US" w:eastAsia="zh-CN"/>
        </w:rPr>
        <w:t>减半加分</w:t>
      </w:r>
      <w:r>
        <w:rPr>
          <w:rFonts w:ascii="宋体" w:hAnsi="宋体"/>
          <w:color w:val="FF0000"/>
          <w:szCs w:val="21"/>
        </w:rPr>
        <w:t>。</w:t>
      </w:r>
      <w:r>
        <w:rPr>
          <w:rFonts w:hint="eastAsia" w:ascii="宋体" w:hAnsi="宋体"/>
          <w:color w:val="FF0000"/>
          <w:szCs w:val="21"/>
          <w:lang w:val="en-US" w:eastAsia="zh-CN"/>
        </w:rPr>
        <w:t>其他</w:t>
      </w:r>
      <w:r>
        <w:rPr>
          <w:rFonts w:hint="eastAsia" w:ascii="宋体" w:hAnsi="宋体"/>
          <w:color w:val="FF0000"/>
          <w:szCs w:val="21"/>
        </w:rPr>
        <w:t>各类</w:t>
      </w:r>
      <w:r>
        <w:rPr>
          <w:rFonts w:hint="eastAsia" w:ascii="宋体" w:hAnsi="宋体"/>
          <w:color w:val="FF0000"/>
          <w:szCs w:val="21"/>
          <w:lang w:val="en-US" w:eastAsia="zh-CN"/>
        </w:rPr>
        <w:t>学科竞赛、</w:t>
      </w:r>
      <w:r>
        <w:rPr>
          <w:rFonts w:hint="eastAsia" w:ascii="宋体" w:hAnsi="宋体"/>
          <w:color w:val="FF0000"/>
          <w:szCs w:val="21"/>
        </w:rPr>
        <w:t>官方学术论坛获奖</w:t>
      </w:r>
      <w:r>
        <w:rPr>
          <w:rFonts w:hint="eastAsia" w:ascii="宋体" w:hAnsi="宋体"/>
          <w:color w:val="FF0000"/>
          <w:szCs w:val="21"/>
          <w:lang w:val="en-US" w:eastAsia="zh-CN"/>
        </w:rPr>
        <w:t>以学院通知认定为准加分</w:t>
      </w:r>
      <w:r>
        <w:rPr>
          <w:rFonts w:hint="eastAsia" w:ascii="宋体" w:hAnsi="宋体"/>
          <w:color w:val="FF0000"/>
          <w:szCs w:val="21"/>
        </w:rPr>
        <w:t>。</w:t>
      </w:r>
      <w:r>
        <w:rPr>
          <w:rFonts w:ascii="宋体" w:hAnsi="宋体"/>
          <w:szCs w:val="21"/>
          <w:u w:val="single"/>
        </w:rPr>
        <w:t>同一项目获得多级荣誉（成果）者，只按该项目的最高等级加分</w:t>
      </w:r>
      <w:r>
        <w:rPr>
          <w:rFonts w:ascii="宋体" w:hAnsi="宋体"/>
          <w:szCs w:val="21"/>
        </w:rPr>
        <w:t>。</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ascii="宋体" w:hAnsi="宋体"/>
          <w:szCs w:val="21"/>
        </w:rPr>
        <w:t>全程参与</w:t>
      </w:r>
      <w:r>
        <w:rPr>
          <w:rFonts w:hint="eastAsia" w:ascii="宋体" w:hAnsi="宋体"/>
          <w:szCs w:val="21"/>
        </w:rPr>
        <w:t>A、B类竞赛</w:t>
      </w:r>
      <w:r>
        <w:rPr>
          <w:rFonts w:ascii="宋体" w:hAnsi="宋体"/>
          <w:szCs w:val="21"/>
        </w:rPr>
        <w:t>但未获名次者加相应的参与分</w:t>
      </w:r>
      <w:r>
        <w:rPr>
          <w:rFonts w:hint="eastAsia" w:ascii="宋体" w:hAnsi="宋体"/>
          <w:szCs w:val="21"/>
        </w:rPr>
        <w:t>，校级及以上比赛加</w:t>
      </w:r>
      <w:r>
        <w:rPr>
          <w:rFonts w:hint="eastAsia" w:ascii="宋体" w:hAnsi="宋体"/>
          <w:color w:val="FF0000"/>
          <w:szCs w:val="21"/>
          <w:lang w:val="en-US" w:eastAsia="zh-CN"/>
        </w:rPr>
        <w:t>0.5</w:t>
      </w:r>
      <w:r>
        <w:rPr>
          <w:rFonts w:hint="eastAsia" w:ascii="宋体" w:hAnsi="宋体"/>
          <w:color w:val="FF0000"/>
          <w:szCs w:val="21"/>
        </w:rPr>
        <w:t>分/次</w:t>
      </w:r>
      <w:r>
        <w:rPr>
          <w:rFonts w:hint="eastAsia" w:ascii="宋体" w:hAnsi="宋体"/>
          <w:szCs w:val="21"/>
        </w:rPr>
        <w:t>，院级加</w:t>
      </w:r>
      <w:r>
        <w:rPr>
          <w:rFonts w:hint="eastAsia" w:ascii="宋体" w:hAnsi="宋体"/>
          <w:color w:val="FF0000"/>
          <w:szCs w:val="21"/>
        </w:rPr>
        <w:t>0.</w:t>
      </w:r>
      <w:r>
        <w:rPr>
          <w:rFonts w:hint="eastAsia" w:ascii="宋体" w:hAnsi="宋体"/>
          <w:color w:val="FF0000"/>
          <w:szCs w:val="21"/>
          <w:lang w:val="en-US" w:eastAsia="zh-CN"/>
        </w:rPr>
        <w:t>3</w:t>
      </w:r>
      <w:r>
        <w:rPr>
          <w:rFonts w:hint="eastAsia" w:ascii="宋体" w:hAnsi="宋体"/>
          <w:color w:val="FF0000"/>
          <w:szCs w:val="21"/>
        </w:rPr>
        <w:t>/次</w:t>
      </w:r>
      <w:r>
        <w:rPr>
          <w:rFonts w:ascii="宋体" w:hAnsi="宋体"/>
          <w:szCs w:val="21"/>
        </w:rPr>
        <w:t>：</w:t>
      </w:r>
      <w:r>
        <w:rPr>
          <w:rFonts w:hint="eastAsia" w:ascii="宋体" w:hAnsi="宋体"/>
          <w:szCs w:val="21"/>
        </w:rPr>
        <w:t>比赛包括</w:t>
      </w:r>
      <w:r>
        <w:rPr>
          <w:rFonts w:ascii="宋体" w:hAnsi="宋体"/>
          <w:szCs w:val="21"/>
        </w:rPr>
        <w:t>全国/浙江省“挑战杯”大学生学术科技作品竞赛、全国/浙江省“挑战杯”大学生创业计划竞赛、全国/浙江省</w:t>
      </w:r>
      <w:r>
        <w:rPr>
          <w:rFonts w:hint="eastAsia" w:ascii="宋体" w:hAnsi="宋体"/>
          <w:szCs w:val="21"/>
          <w:lang w:eastAsia="zh-Hans"/>
        </w:rPr>
        <w:t>“</w:t>
      </w:r>
      <w:r>
        <w:rPr>
          <w:rFonts w:hint="eastAsia" w:ascii="宋体" w:hAnsi="宋体"/>
          <w:szCs w:val="21"/>
        </w:rPr>
        <w:t>互联网+</w:t>
      </w:r>
      <w:r>
        <w:rPr>
          <w:rFonts w:hint="eastAsia" w:ascii="宋体" w:hAnsi="宋体"/>
          <w:szCs w:val="21"/>
          <w:lang w:eastAsia="zh-Hans"/>
        </w:rPr>
        <w:t>”</w:t>
      </w:r>
      <w:r>
        <w:rPr>
          <w:rFonts w:hint="eastAsia" w:ascii="宋体" w:hAnsi="宋体"/>
          <w:szCs w:val="21"/>
        </w:rPr>
        <w:t>大学生创新创业大赛等</w:t>
      </w:r>
      <w:r>
        <w:rPr>
          <w:rFonts w:ascii="宋体" w:hAnsi="宋体"/>
          <w:szCs w:val="21"/>
        </w:rPr>
        <w:t>。</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以团队形式参加竞赛获奖加分权重划分同发表刊物作者权重划分。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（二）刊物发表（专业相关论文）：一级刊物50分，核心刊物25分，普通刊物15分。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刊物级别、作者权重参照学校科技处的杂志级别、作者权重划分，权重如下：</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56"/>
        <w:gridCol w:w="895"/>
        <w:gridCol w:w="851"/>
        <w:gridCol w:w="850"/>
        <w:gridCol w:w="851"/>
        <w:gridCol w:w="992"/>
        <w:gridCol w:w="11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5" w:hRule="atLeast"/>
          <w:jc w:val="center"/>
        </w:trPr>
        <w:tc>
          <w:tcPr>
            <w:tcW w:w="105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完成人数</w:t>
            </w:r>
          </w:p>
        </w:tc>
        <w:tc>
          <w:tcPr>
            <w:tcW w:w="5573"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排位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6" w:type="dxa"/>
            <w:vMerge w:val="continue"/>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2</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3</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4</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5</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6及以后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2</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0.6</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0.4</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3</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0.5</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0.3</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0.2</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4</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0.4</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0.3</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0.2</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0.1</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5</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0.4</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0.3</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0.15</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0.1</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0.05</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6</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0.4</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0.3</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0.15</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0.07</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0.04</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0.04</w:t>
            </w:r>
          </w:p>
        </w:tc>
      </w:tr>
    </w:tbl>
    <w:p>
      <w:pPr>
        <w:keepNext w:val="0"/>
        <w:keepLines w:val="0"/>
        <w:pageBreakBefore w:val="0"/>
        <w:kinsoku/>
        <w:wordWrap/>
        <w:overflowPunct/>
        <w:topLinePunct w:val="0"/>
        <w:autoSpaceDE/>
        <w:autoSpaceDN/>
        <w:bidi w:val="0"/>
        <w:adjustRightInd/>
        <w:spacing w:line="300" w:lineRule="auto"/>
        <w:jc w:val="both"/>
        <w:textAlignment w:val="auto"/>
        <w:rPr>
          <w:rFonts w:ascii="宋体" w:hAnsi="宋体"/>
          <w:b/>
          <w:szCs w:val="21"/>
        </w:rPr>
      </w:pPr>
      <w:r>
        <w:rPr>
          <w:rFonts w:hint="eastAsia" w:ascii="宋体" w:hAnsi="宋体"/>
          <w:b/>
          <w:szCs w:val="21"/>
          <w:lang w:val="en-US" w:eastAsia="zh-Hans"/>
        </w:rPr>
        <w:t>三</w:t>
      </w:r>
      <w:r>
        <w:rPr>
          <w:rFonts w:hint="eastAsia" w:ascii="宋体" w:hAnsi="宋体"/>
          <w:b/>
          <w:szCs w:val="21"/>
        </w:rPr>
        <w:t>、专业技能（25%）</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(一)大学英语四级</w:t>
      </w:r>
      <w:r>
        <w:rPr>
          <w:rFonts w:hint="default" w:ascii="宋体" w:hAnsi="宋体"/>
          <w:szCs w:val="21"/>
        </w:rPr>
        <w:t>425</w:t>
      </w:r>
      <w:r>
        <w:rPr>
          <w:rFonts w:hint="eastAsia" w:ascii="宋体" w:hAnsi="宋体"/>
          <w:szCs w:val="21"/>
          <w:lang w:val="en-US" w:eastAsia="zh-Hans"/>
        </w:rPr>
        <w:t>及以上</w:t>
      </w:r>
      <w:r>
        <w:rPr>
          <w:rFonts w:hint="eastAsia" w:ascii="宋体" w:hAnsi="宋体"/>
          <w:szCs w:val="21"/>
        </w:rPr>
        <w:t>加6分，优秀（600分及以上）加10分，六级425</w:t>
      </w:r>
      <w:r>
        <w:rPr>
          <w:rFonts w:hint="eastAsia" w:ascii="宋体" w:hAnsi="宋体"/>
          <w:szCs w:val="21"/>
          <w:lang w:val="en-US" w:eastAsia="zh-Hans"/>
        </w:rPr>
        <w:t>及</w:t>
      </w:r>
      <w:r>
        <w:rPr>
          <w:rFonts w:hint="eastAsia" w:ascii="宋体" w:hAnsi="宋体"/>
          <w:szCs w:val="21"/>
        </w:rPr>
        <w:t>以上加12分，优秀（550分及以上）加15分，通过相应的口试上浮2分，该项从通过起以后每次考核均能记分，但四、六级只记一项。通过计算机水平等级二级加6分，三级加10分，该项从通过起以后每次考核均能记分，但二、三级只记一项。</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（二）获得各项</w:t>
      </w:r>
      <w:r>
        <w:rPr>
          <w:rFonts w:hint="eastAsia" w:ascii="宋体" w:hAnsi="宋体"/>
          <w:szCs w:val="21"/>
          <w:lang w:val="en-US" w:eastAsia="zh-Hans"/>
        </w:rPr>
        <w:t>专业</w:t>
      </w:r>
      <w:r>
        <w:rPr>
          <w:rFonts w:hint="eastAsia" w:ascii="宋体" w:hAnsi="宋体"/>
          <w:szCs w:val="21"/>
        </w:rPr>
        <w:t>资格证书加分：通过保险精算师、注册会计师加30分；获得证券、会计、银行、期货等经济管理类从业资格证加15分；通过中级口译加10分、高级口译加15分；雅思6分以上、托福90分以上、GMAT680分以上或GRE达到1300分（需进行新旧分制折算）以上加15分，此类出国语言考试不重复加分。其他各类资格证加5分（驾照不参与加分）。（本项内的资格证书加分均只能适用于本奖学金年度内获得的资格证书，即只有在本奖学金年度内获得的资格证书才可以加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（三）参加并完成硕士研究生入学考试加12分</w:t>
      </w:r>
      <w:r>
        <w:rPr>
          <w:rFonts w:hint="eastAsia"/>
        </w:rPr>
        <w:t>。</w:t>
      </w:r>
    </w:p>
    <w:p>
      <w:pPr>
        <w:keepNext w:val="0"/>
        <w:keepLines w:val="0"/>
        <w:pageBreakBefore w:val="0"/>
        <w:kinsoku/>
        <w:wordWrap/>
        <w:overflowPunct/>
        <w:topLinePunct w:val="0"/>
        <w:autoSpaceDE/>
        <w:autoSpaceDN/>
        <w:bidi w:val="0"/>
        <w:adjustRightInd/>
        <w:spacing w:line="300" w:lineRule="auto"/>
        <w:jc w:val="both"/>
        <w:textAlignment w:val="auto"/>
        <w:rPr>
          <w:rFonts w:ascii="宋体" w:hAnsi="宋体"/>
          <w:b/>
          <w:szCs w:val="21"/>
          <w:highlight w:val="none"/>
        </w:rPr>
      </w:pPr>
      <w:r>
        <w:rPr>
          <w:rFonts w:hint="eastAsia" w:ascii="宋体" w:hAnsi="宋体"/>
          <w:b/>
          <w:szCs w:val="21"/>
          <w:highlight w:val="none"/>
          <w:lang w:val="en-US" w:eastAsia="zh-Hans"/>
        </w:rPr>
        <w:t>四</w:t>
      </w:r>
      <w:r>
        <w:rPr>
          <w:rFonts w:hint="eastAsia" w:ascii="宋体" w:hAnsi="宋体"/>
          <w:b/>
          <w:szCs w:val="21"/>
          <w:highlight w:val="none"/>
        </w:rPr>
        <w:t>、组织</w:t>
      </w:r>
      <w:r>
        <w:rPr>
          <w:rFonts w:hint="eastAsia" w:ascii="宋体" w:hAnsi="宋体"/>
          <w:b/>
          <w:szCs w:val="21"/>
          <w:highlight w:val="none"/>
          <w:lang w:val="en-US" w:eastAsia="zh-Hans"/>
        </w:rPr>
        <w:t>工作</w:t>
      </w:r>
      <w:r>
        <w:rPr>
          <w:rFonts w:hint="eastAsia" w:ascii="宋体" w:hAnsi="宋体"/>
          <w:b/>
          <w:szCs w:val="21"/>
          <w:highlight w:val="none"/>
        </w:rPr>
        <w:t>（15%）</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highlight w:val="none"/>
        </w:rPr>
      </w:pPr>
      <w:r>
        <w:rPr>
          <w:rFonts w:hint="eastAsia" w:ascii="宋体" w:hAnsi="宋体"/>
          <w:szCs w:val="21"/>
          <w:highlight w:val="none"/>
        </w:rPr>
        <w:t>（一）</w:t>
      </w:r>
      <w:r>
        <w:rPr>
          <w:rFonts w:hint="eastAsia" w:ascii="宋体" w:hAnsi="宋体"/>
          <w:szCs w:val="21"/>
          <w:highlight w:val="none"/>
          <w:lang w:eastAsia="zh-CN"/>
        </w:rPr>
        <w:t>根据学校工作的实际情况，为兼顾公平和效率，学生干部考核得分</w:t>
      </w:r>
      <w:r>
        <w:rPr>
          <w:rFonts w:hint="eastAsia" w:ascii="宋体" w:hAnsi="宋体"/>
          <w:szCs w:val="21"/>
          <w:highlight w:val="none"/>
          <w:lang w:val="en-US" w:eastAsia="zh-CN"/>
        </w:rPr>
        <w:t>=任职岗位分+绩效考核分，对“任职岗位分”实行分类计分，对“绩效考核分”实行统一计分，</w:t>
      </w:r>
      <w:r>
        <w:rPr>
          <w:rFonts w:hint="eastAsia" w:ascii="宋体" w:hAnsi="宋体"/>
          <w:color w:val="FF0000"/>
          <w:szCs w:val="21"/>
          <w:highlight w:val="none"/>
          <w:lang w:val="en-US" w:eastAsia="zh-CN"/>
        </w:rPr>
        <w:t>学校另有规定的按照学校文件精神执行</w:t>
      </w:r>
      <w:r>
        <w:rPr>
          <w:rFonts w:hint="eastAsia" w:ascii="宋体" w:hAnsi="宋体"/>
          <w:color w:val="FF0000"/>
          <w:szCs w:val="21"/>
          <w:highlight w:val="none"/>
        </w:rPr>
        <w:t>。</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highlight w:val="none"/>
        </w:rPr>
      </w:pPr>
      <w:r>
        <w:rPr>
          <w:rFonts w:hint="eastAsia" w:ascii="宋体" w:hAnsi="宋体"/>
          <w:szCs w:val="21"/>
          <w:highlight w:val="none"/>
        </w:rPr>
        <w:t>（二）</w:t>
      </w:r>
      <w:r>
        <w:rPr>
          <w:rFonts w:hint="eastAsia" w:ascii="宋体" w:hAnsi="宋体"/>
          <w:szCs w:val="21"/>
          <w:highlight w:val="none"/>
          <w:lang w:eastAsia="zh-CN"/>
        </w:rPr>
        <w:t>学生干部按以下分类：</w:t>
      </w:r>
    </w:p>
    <w:tbl>
      <w:tblPr>
        <w:tblStyle w:val="6"/>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7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一类</w:t>
            </w:r>
          </w:p>
        </w:tc>
        <w:tc>
          <w:tcPr>
            <w:tcW w:w="7049"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校院团委学生兼职副书记，校院学生会主席团成员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二类</w:t>
            </w:r>
          </w:p>
        </w:tc>
        <w:tc>
          <w:tcPr>
            <w:tcW w:w="7049"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校院团委部门负责人，校院学生会部门负责人，其他校院学生组织负责人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三类</w:t>
            </w:r>
          </w:p>
        </w:tc>
        <w:tc>
          <w:tcPr>
            <w:tcW w:w="7049"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校学生会工作人员，其他校院学生组织部门负责人，学生社团负责人，党支部书记，团支部书记，班长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四类</w:t>
            </w:r>
          </w:p>
        </w:tc>
        <w:tc>
          <w:tcPr>
            <w:tcW w:w="7049"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院学生会工作人员，学生社团部门负责人，其他党支部委员，其他团支部委员，其他班级委员</w:t>
            </w:r>
          </w:p>
        </w:tc>
      </w:tr>
    </w:tbl>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ascii="宋体" w:hAnsi="宋体"/>
          <w:szCs w:val="21"/>
          <w:highlight w:val="none"/>
        </w:rPr>
      </w:pPr>
      <w:r>
        <w:rPr>
          <w:rFonts w:hint="eastAsia" w:ascii="宋体" w:hAnsi="宋体"/>
          <w:szCs w:val="21"/>
          <w:highlight w:val="none"/>
        </w:rPr>
        <w:t>（三）绩效考核结果分为优秀、称职和不称职。其中，获得优秀等级的比例不得高于30%。</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eastAsia" w:ascii="宋体" w:hAnsi="宋体" w:eastAsia="宋体"/>
          <w:szCs w:val="21"/>
          <w:highlight w:val="none"/>
          <w:lang w:eastAsia="zh-CN"/>
        </w:rPr>
      </w:pPr>
      <w:r>
        <w:rPr>
          <w:rFonts w:hint="eastAsia" w:ascii="宋体" w:hAnsi="宋体"/>
          <w:szCs w:val="21"/>
          <w:highlight w:val="none"/>
          <w:lang w:eastAsia="zh-CN"/>
        </w:rPr>
        <w:t>（四）具体计分分值如下：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419" w:type="dxa"/>
            <w:vMerge w:val="restart"/>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szCs w:val="21"/>
                <w:highlight w:val="none"/>
                <w:vertAlign w:val="baseline"/>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szCs w:val="21"/>
                <w:highlight w:val="none"/>
                <w:vertAlign w:val="baseline"/>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szCs w:val="21"/>
                <w:highlight w:val="none"/>
                <w:vertAlign w:val="baseline"/>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szCs w:val="21"/>
                <w:highlight w:val="none"/>
                <w:vertAlign w:val="baseline"/>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mc:AlternateContent>
                <mc:Choice Requires="wpsCustomData">
                  <wpsCustomData:diagonalParaType/>
                </mc:Choice>
              </mc:AlternateContent>
              <w:rPr>
                <w:rFonts w:hint="eastAsia" w:ascii="宋体" w:hAnsi="宋体" w:eastAsia="宋体"/>
                <w:szCs w:val="21"/>
                <w:highlight w:val="none"/>
                <w:vertAlign w:val="baseline"/>
                <w:lang w:eastAsia="zh-CN"/>
              </w:rPr>
            </w:pPr>
            <w:r>
              <w:rPr>
                <w:rFonts w:hint="eastAsia" w:ascii="宋体" w:hAnsi="宋体"/>
                <w:sz w:val="18"/>
                <w:szCs w:val="18"/>
                <w:highlight w:val="none"/>
                <w:vertAlign w:val="baseline"/>
                <w:lang w:eastAsia="zh-CN"/>
              </w:rPr>
              <w:t>考核等级分</w:t>
            </w:r>
          </w:p>
          <w:p>
            <w:pPr>
              <w:keepNext w:val="0"/>
              <w:keepLines w:val="0"/>
              <w:pageBreakBefore w:val="0"/>
              <w:widowControl w:val="0"/>
              <w:kinsoku/>
              <w:wordWrap/>
              <w:overflowPunct/>
              <w:topLinePunct w:val="0"/>
              <w:autoSpaceDE/>
              <w:autoSpaceDN/>
              <w:bidi w:val="0"/>
              <w:adjustRightInd/>
              <w:spacing w:line="300" w:lineRule="auto"/>
              <w:ind w:firstLine="0" w:firstLineChars="0"/>
              <w:jc w:val="both"/>
              <w:textAlignment w:val="auto"/>
              <w:rPr>
                <w:rFonts w:hint="eastAsia" w:ascii="宋体" w:hAnsi="宋体" w:eastAsia="宋体"/>
                <w:szCs w:val="21"/>
                <w:highlight w:val="none"/>
                <w:vertAlign w:val="baseline"/>
                <w:lang w:eastAsia="zh-CN"/>
              </w:rPr>
            </w:pPr>
            <w:r>
              <w:rPr>
                <w:rFonts w:hint="eastAsia" w:ascii="宋体" w:hAnsi="宋体"/>
                <w:sz w:val="18"/>
                <w:szCs w:val="18"/>
                <w:highlight w:val="none"/>
                <w:vertAlign w:val="baseline"/>
                <w:lang w:eastAsia="zh-CN"/>
              </w:rPr>
              <w:t>任职岗位分</w:t>
            </w:r>
          </w:p>
        </w:tc>
        <w:tc>
          <w:tcPr>
            <w:tcW w:w="1419" w:type="dxa"/>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一类</w:t>
            </w:r>
          </w:p>
        </w:tc>
        <w:tc>
          <w:tcPr>
            <w:tcW w:w="1419" w:type="dxa"/>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二类</w:t>
            </w:r>
          </w:p>
        </w:tc>
        <w:tc>
          <w:tcPr>
            <w:tcW w:w="1420" w:type="dxa"/>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三类</w:t>
            </w:r>
          </w:p>
        </w:tc>
        <w:tc>
          <w:tcPr>
            <w:tcW w:w="1463" w:type="dxa"/>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szCs w:val="21"/>
                <w:highlight w:val="none"/>
                <w:vertAlign w:val="baseline"/>
                <w:lang w:eastAsia="zh-CN"/>
              </w:rPr>
            </w:pPr>
            <w:r>
              <w:rPr>
                <w:rFonts w:hint="eastAsia" w:ascii="宋体" w:hAnsi="宋体"/>
                <w:szCs w:val="21"/>
                <w:highlight w:val="none"/>
                <w:vertAlign w:val="baseline"/>
                <w:lang w:eastAsia="zh-CN"/>
              </w:rPr>
              <w:t>四类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Merge w:val="continue"/>
          </w:tcPr>
          <w:p>
            <w:pPr>
              <w:keepNext w:val="0"/>
              <w:keepLines w:val="0"/>
              <w:pageBreakBefore w:val="0"/>
              <w:widowControl w:val="0"/>
              <w:kinsoku/>
              <w:wordWrap/>
              <w:overflowPunct/>
              <w:topLinePunct w:val="0"/>
              <w:autoSpaceDE/>
              <w:autoSpaceDN/>
              <w:bidi w:val="0"/>
              <w:adjustRightInd/>
              <w:spacing w:line="300" w:lineRule="auto"/>
              <w:ind w:firstLine="0" w:firstLineChars="0"/>
              <w:jc w:val="both"/>
              <w:textAlignment w:val="auto"/>
              <w:rPr>
                <w:rFonts w:hint="eastAsia" w:ascii="宋体" w:hAnsi="宋体"/>
                <w:szCs w:val="21"/>
                <w:highlight w:val="none"/>
                <w:vertAlign w:val="baseline"/>
              </w:rPr>
            </w:pPr>
          </w:p>
        </w:tc>
        <w:tc>
          <w:tcPr>
            <w:tcW w:w="1419" w:type="dxa"/>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default"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18</w:t>
            </w:r>
          </w:p>
        </w:tc>
        <w:tc>
          <w:tcPr>
            <w:tcW w:w="1419" w:type="dxa"/>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default"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15</w:t>
            </w:r>
          </w:p>
        </w:tc>
        <w:tc>
          <w:tcPr>
            <w:tcW w:w="1420" w:type="dxa"/>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default"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12</w:t>
            </w:r>
          </w:p>
        </w:tc>
        <w:tc>
          <w:tcPr>
            <w:tcW w:w="1463" w:type="dxa"/>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优秀</w:t>
            </w:r>
          </w:p>
        </w:tc>
        <w:tc>
          <w:tcPr>
            <w:tcW w:w="5721" w:type="dxa"/>
            <w:gridSpan w:val="4"/>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default"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称职</w:t>
            </w:r>
          </w:p>
        </w:tc>
        <w:tc>
          <w:tcPr>
            <w:tcW w:w="5721" w:type="dxa"/>
            <w:gridSpan w:val="4"/>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default"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不称职</w:t>
            </w:r>
          </w:p>
        </w:tc>
        <w:tc>
          <w:tcPr>
            <w:tcW w:w="5721" w:type="dxa"/>
            <w:gridSpan w:val="4"/>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0（学生干部考核得分总分为0）</w:t>
            </w:r>
          </w:p>
        </w:tc>
      </w:tr>
    </w:tbl>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default" w:ascii="宋体" w:hAnsi="宋体"/>
          <w:szCs w:val="21"/>
          <w:highlight w:val="none"/>
          <w:lang w:val="en-US" w:eastAsia="zh-CN"/>
        </w:rPr>
      </w:pPr>
      <w:r>
        <w:rPr>
          <w:rFonts w:hint="eastAsia" w:ascii="宋体" w:hAnsi="宋体"/>
          <w:szCs w:val="21"/>
          <w:highlight w:val="none"/>
          <w:lang w:eastAsia="zh-CN"/>
        </w:rPr>
        <w:t>（五）寝室长、信息员等工作人员参照学生干部加</w:t>
      </w:r>
      <w:r>
        <w:rPr>
          <w:rFonts w:hint="eastAsia" w:ascii="宋体" w:hAnsi="宋体"/>
          <w:szCs w:val="21"/>
          <w:highlight w:val="none"/>
          <w:lang w:val="en-US" w:eastAsia="zh-CN"/>
        </w:rPr>
        <w:t>5分，在工作职责范围内出现违反学校相关规定事项则不加分，如寝室出现违章电器等。</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szCs w:val="21"/>
          <w:highlight w:val="none"/>
          <w:lang w:eastAsia="zh-CN"/>
        </w:rPr>
      </w:pPr>
      <w:r>
        <w:rPr>
          <w:rFonts w:hint="eastAsia" w:ascii="宋体" w:hAnsi="宋体"/>
          <w:szCs w:val="21"/>
          <w:highlight w:val="none"/>
          <w:lang w:eastAsia="zh-CN"/>
        </w:rPr>
        <w:t>（六）相应负责人包括正职与副职，任多项学生干部职务者以最高职务类别计分，学生干部任职半年得分按50%计算，任职不足半年不予计分。</w:t>
      </w:r>
    </w:p>
    <w:p>
      <w:pPr>
        <w:keepNext w:val="0"/>
        <w:keepLines w:val="0"/>
        <w:pageBreakBefore w:val="0"/>
        <w:kinsoku/>
        <w:wordWrap/>
        <w:overflowPunct/>
        <w:topLinePunct w:val="0"/>
        <w:autoSpaceDE/>
        <w:autoSpaceDN/>
        <w:bidi w:val="0"/>
        <w:adjustRightInd/>
        <w:spacing w:line="300" w:lineRule="auto"/>
        <w:ind w:firstLine="422" w:firstLineChars="200"/>
        <w:jc w:val="both"/>
        <w:textAlignment w:val="auto"/>
        <w:rPr>
          <w:rFonts w:ascii="宋体" w:hAnsi="宋体"/>
          <w:b/>
          <w:szCs w:val="21"/>
        </w:rPr>
      </w:pPr>
      <w:r>
        <w:rPr>
          <w:rFonts w:hint="eastAsia" w:ascii="宋体" w:hAnsi="宋体"/>
          <w:b/>
          <w:szCs w:val="21"/>
          <w:lang w:val="en-US" w:eastAsia="zh-Hans"/>
        </w:rPr>
        <w:t>五</w:t>
      </w:r>
      <w:r>
        <w:rPr>
          <w:rFonts w:hint="eastAsia" w:ascii="宋体" w:hAnsi="宋体"/>
          <w:b/>
          <w:szCs w:val="21"/>
        </w:rPr>
        <w:t>、</w:t>
      </w:r>
      <w:r>
        <w:rPr>
          <w:rFonts w:hint="eastAsia" w:ascii="宋体" w:hAnsi="宋体"/>
          <w:b/>
          <w:szCs w:val="21"/>
          <w:lang w:val="en-US" w:eastAsia="zh-Hans"/>
        </w:rPr>
        <w:t>体育美育</w:t>
      </w:r>
      <w:r>
        <w:rPr>
          <w:rFonts w:hint="eastAsia" w:ascii="宋体" w:hAnsi="宋体"/>
          <w:b/>
          <w:szCs w:val="21"/>
        </w:rPr>
        <w:t>（15%）</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eastAsia" w:ascii="宋体" w:hAnsi="宋体"/>
          <w:szCs w:val="21"/>
        </w:rPr>
      </w:pPr>
      <w:r>
        <w:rPr>
          <w:rFonts w:hint="eastAsia" w:ascii="宋体" w:hAnsi="宋体"/>
          <w:szCs w:val="21"/>
        </w:rPr>
        <w:t>参加体育和美育比赛获奖，奖励记实标准参考值：</w:t>
      </w:r>
    </w:p>
    <w:tbl>
      <w:tblPr>
        <w:tblStyle w:val="5"/>
        <w:tblpPr w:leftFromText="180" w:rightFromText="180" w:vertAnchor="text" w:horzAnchor="margin" w:tblpXSpec="center" w:tblpY="72"/>
        <w:tblW w:w="70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00"/>
        <w:gridCol w:w="1336"/>
        <w:gridCol w:w="1298"/>
        <w:gridCol w:w="1327"/>
        <w:gridCol w:w="13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8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210" w:firstLineChars="100"/>
              <w:jc w:val="both"/>
              <w:textAlignment w:val="auto"/>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519430</wp:posOffset>
                      </wp:positionH>
                      <wp:positionV relativeFrom="paragraph">
                        <wp:posOffset>635</wp:posOffset>
                      </wp:positionV>
                      <wp:extent cx="537845" cy="566420"/>
                      <wp:effectExtent l="3175" t="3175" r="11430" b="2095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37845" cy="56642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0.9pt;margin-top:0.05pt;height:44.6pt;width:42.35pt;z-index:251660288;mso-width-relative:page;mso-height-relative:page;" filled="f" stroked="t" coordsize="21600,21600" o:gfxdata="UEsDBAoAAAAAAIdO4kAAAAAAAAAAAAAAAAAEAAAAZHJzL1BLAwQUAAAACACHTuJAZmKjz9MAAAAG&#10;AQAADwAAAGRycy9kb3ducmV2LnhtbE2OO0/DMBSFd6T+B+sisVStnVZEbYjToZCNpQXEehtfkoj4&#10;Oo3dB/z6OhOM56FzvnxztZ040+BbxxqSuQJBXDnTcq3h/a2crUD4gGywc0wafsjDppjc5ZgZd+Ed&#10;nfehFnGEfYYamhD6TEpfNWTRz11PHLMvN1gMUQ61NANe4rjt5EKpVFpsOT402NO2oep7f7IafPlB&#10;x/J3Wk3V57J2tDg+v76g1g/3iXoCEega/sow4kd0KCLTwZ3YeNFpWCWRPIy+GNM0fQRxiPZ6CbLI&#10;5X/84gZQSwMEFAAAAAgAh07iQMBFfhPvAQAAvAMAAA4AAABkcnMvZTJvRG9jLnhtbK1TzW4TMRC+&#10;I/EOlu9kk6UJZZVND4nKpUCllgdwvN6she2xPE42eQleAIkbnDj2zttQHoOx80Mplx7Yg+XxzHwz&#10;3zez04utNWyjAmpwNR8NhpwpJ6HRblXzD7eXL845wyhcIww4VfOdQn4xe/5s2vtKldCBaVRgBOKw&#10;6n3Nuxh9VRQoO2UFDsArR84WghWRzLAqmiB6QremKIfDSdFDaHwAqRDpdbF38gNieAogtK2WagFy&#10;bZWLe9SgjIhECTvtkc9yt22rZHzftqgiMzUnpjGfVITuy3QWs6moVkH4TstDC+IpLTziZIV2VPQE&#10;tRBRsHXQ/0BZLQMgtHEgwRZ7IlkRYjEaPtLmphNeZS4kNfqT6Pj/YOW7zXVguql5yZkTlgZ+//nu&#10;56evv358ofP++zdWJpF6jxXFzt11SDTl1t34K5AfkTmYd8KtVG72ducJYZQyir9SkoGeSi37t9BQ&#10;jFhHyIpt22ATJGnBtnkwu9Ng1DYySY/jl6/Oz8acSXKNJ5OzMg+uENUx2QeMbxRYli41N9ol3UQl&#10;NlcYUzOiOoakZweX2pg8e+NYX/PX43KcExCMbpIzhWFYLecmsI1I25O/zIw8D8MCrF2zL2JcylN5&#10;8Q6Vj8z3Gi6h2V2Hozw01NzbYQHT1jy0s4h/frr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Zi&#10;o8/TAAAABgEAAA8AAAAAAAAAAQAgAAAAIgAAAGRycy9kb3ducmV2LnhtbFBLAQIUABQAAAAIAIdO&#10;4kDARX4T7wEAALwDAAAOAAAAAAAAAAEAIAAAACIBAABkcnMvZTJvRG9jLnhtbFBLBQYAAAAABgAG&#10;AFkBAACD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164465</wp:posOffset>
                      </wp:positionV>
                      <wp:extent cx="1122045" cy="406400"/>
                      <wp:effectExtent l="1905" t="4445" r="19050" b="8255"/>
                      <wp:wrapNone/>
                      <wp:docPr id="3"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143000" cy="396875"/>
                              </a:xfrm>
                              <a:prstGeom prst="line">
                                <a:avLst/>
                              </a:prstGeom>
                              <a:noFill/>
                              <a:ln w="9525">
                                <a:solidFill>
                                  <a:srgbClr val="000000"/>
                                </a:solidFill>
                                <a:round/>
                              </a:ln>
                              <a:effectLst/>
                            </wps:spPr>
                            <wps:bodyPr/>
                          </wps:wsp>
                        </a:graphicData>
                      </a:graphic>
                    </wp:anchor>
                  </w:drawing>
                </mc:Choice>
                <mc:Fallback>
                  <w:pict>
                    <v:line id="直接连接符 1" o:spid="_x0000_s1026" o:spt="20" style="position:absolute;left:0pt;margin-left:-4.8pt;margin-top:12.95pt;height:32pt;width:88.35pt;z-index:251661312;mso-width-relative:page;mso-height-relative:page;" filled="f" stroked="t" coordsize="21600,21600" o:gfxdata="UEsDBAoAAAAAAIdO4kAAAAAAAAAAAAAAAAAEAAAAZHJzL1BLAwQUAAAACACHTuJAidENgtcAAAAI&#10;AQAADwAAAGRycy9kb3ducmV2LnhtbE2PzU7DMBCE70i8g7VIXKrWThBpE+L0AOTGhULFdRsvSUS8&#10;TmP3B54e9wTH0YxmvinXZzuII02+d6whWSgQxI0zPbca3t/q+QqED8gGB8ek4Zs8rKvrqxIL4078&#10;SsdNaEUsYV+ghi6EsZDSNx1Z9As3Ekfv000WQ5RTK82Ep1huB5kqlUmLPceFDkd67Kj52hysBl9v&#10;aV//zJqZ+rhrHaX7p5dn1Pr2JlEPIAKdw18YLvgRHarItHMHNl4MGuZ5FpMa0vscxMXPlgmInYZV&#10;noOsSvn/QPULUEsDBBQAAAAIAIdO4kD8N9UW7gEAAL0DAAAOAAAAZHJzL2Uyb0RvYy54bWytU82O&#10;0zAQviPxDpbvNGlLl92o6R5aLZcFKu3yAK7jJBa2x7LdJn0JXgCJG5w4cudtWB6DsdN2f7jsgRws&#10;e36+me+byfyy14rshPMSTEnHo5wSYThU0jQl/Xh79eqcEh+YqZgCI0q6F55eLl6+mHe2EBNoQVXC&#10;EQQxvuhsSdsQbJFlnrdCMz8CKww6a3CaBXy6Jqsc6xBdq2yS52dZB66yDrjwHq2rwUkPiO45gFDX&#10;kosV8K0WJgyoTigWkJJvpfV0kbqta8HDh7r2IhBVUmQa0olF8L6JZ7aYs6JxzLaSH1pgz2nhCSfN&#10;pMGiJ6gVC4xsnfwHSkvuwEMdRhx0NhBJiiCLcf5Em5uWWZG4oNTenkT3/w+Wv9+tHZFVSaeUGKZx&#10;4Hdffv7+/O3Pr6943v34TsZRpM76AmOXZu0iTd6bG3sN/JMnBpYtM41Izd7uLSKkjOxRSnx4i6U2&#10;3TuoMIZtAyTF+trpCIlakD4NZn8ajOgD4Wgcj19P8xxnxtE3vTg7fzOLTWWsOGZb58NbAZrES0mV&#10;NFE4VrDdtQ9D6DEkmg1cSaXS8JUhXUkvZpNZSvCgZBWdMcy7ZrNUjuxYXJ/0Heo+CnOwNdVQRJmY&#10;J9LmHSofqQ8ibqDar10MjnacaqJx2MC4Ng/fKer+r1v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nRDYLXAAAACAEAAA8AAAAAAAAAAQAgAAAAIgAAAGRycy9kb3ducmV2LnhtbFBLAQIUABQAAAAI&#10;AIdO4kD8N9UW7gEAAL0DAAAOAAAAAAAAAAEAIAAAACYBAABkcnMvZTJvRG9jLnhtbFBLBQYAAAAA&#10;BgAGAFkBAACGBQAAAAA=&#10;">
                      <v:fill on="f" focussize="0,0"/>
                      <v:stroke color="#000000" joinstyle="round"/>
                      <v:imagedata o:title=""/>
                      <o:lock v:ext="edit" aspectratio="f"/>
                    </v:line>
                  </w:pict>
                </mc:Fallback>
              </mc:AlternateContent>
            </w:r>
            <w:r>
              <w:rPr>
                <w:rFonts w:hint="eastAsia" w:ascii="宋体" w:hAnsi="宋体"/>
                <w:szCs w:val="21"/>
              </w:rPr>
              <w:t xml:space="preserve">计分    </w:t>
            </w:r>
            <w:r>
              <w:rPr>
                <w:rFonts w:hint="eastAsia" w:ascii="宋体" w:hAnsi="宋体"/>
                <w:szCs w:val="21"/>
                <w:lang w:val="en-US" w:eastAsia="zh-CN"/>
              </w:rPr>
              <w:t xml:space="preserve"> </w:t>
            </w:r>
            <w:r>
              <w:rPr>
                <w:rFonts w:hint="eastAsia" w:ascii="宋体" w:hAnsi="宋体"/>
                <w:szCs w:val="21"/>
              </w:rPr>
              <w:t>等级</w:t>
            </w:r>
          </w:p>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both"/>
              <w:textAlignment w:val="auto"/>
              <w:rPr>
                <w:rFonts w:ascii="宋体" w:hAnsi="宋体"/>
                <w:szCs w:val="21"/>
              </w:rPr>
            </w:pPr>
            <w:r>
              <w:rPr>
                <w:rFonts w:hint="eastAsia" w:ascii="宋体" w:hAnsi="宋体"/>
                <w:szCs w:val="21"/>
              </w:rPr>
              <w:t>级别</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一等</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二等</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三等</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国家级</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50</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35</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25</w:t>
            </w:r>
          </w:p>
        </w:tc>
        <w:tc>
          <w:tcPr>
            <w:tcW w:w="13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省  级</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30</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20</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15</w:t>
            </w:r>
          </w:p>
        </w:tc>
        <w:tc>
          <w:tcPr>
            <w:tcW w:w="13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市  级</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18</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12</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8</w:t>
            </w:r>
          </w:p>
        </w:tc>
        <w:tc>
          <w:tcPr>
            <w:tcW w:w="13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校  级</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12</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8</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w:t>
            </w:r>
          </w:p>
        </w:tc>
        <w:tc>
          <w:tcPr>
            <w:tcW w:w="13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院  级</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w:t>
            </w:r>
          </w:p>
        </w:tc>
        <w:tc>
          <w:tcPr>
            <w:tcW w:w="13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w:t>
            </w:r>
          </w:p>
        </w:tc>
      </w:tr>
    </w:tbl>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ascii="宋体" w:hAnsi="宋体"/>
          <w:szCs w:val="21"/>
        </w:rPr>
      </w:pPr>
      <w:r>
        <w:rPr>
          <w:rFonts w:hint="eastAsia" w:ascii="宋体" w:hAnsi="宋体"/>
          <w:szCs w:val="21"/>
        </w:rPr>
        <w:t>（一）代表学院参与校级文体比赛未获奖者加固定值1分/次，参与由学院组织的文体活动未获奖者加固定值0.5分/次。</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（二）比赛成绩表彰前6的情况，1名按一等，2、3名按二等，4-6名按三等计算加分；比赛成绩表彰前8的情况，1、2名按一等，3-5名按二等，6-8名按三等计算加分。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default" w:ascii="宋体" w:hAnsi="宋体" w:eastAsia="宋体"/>
          <w:color w:val="FF0000"/>
          <w:szCs w:val="21"/>
          <w:lang w:val="en-US" w:eastAsia="zh-CN"/>
        </w:rPr>
      </w:pPr>
      <w:r>
        <w:rPr>
          <w:rFonts w:hint="eastAsia" w:ascii="宋体" w:hAnsi="宋体"/>
          <w:color w:val="FF0000"/>
          <w:szCs w:val="21"/>
        </w:rPr>
        <w:t>（</w:t>
      </w:r>
      <w:r>
        <w:rPr>
          <w:rFonts w:hint="eastAsia" w:ascii="宋体" w:hAnsi="宋体"/>
          <w:color w:val="FF0000"/>
          <w:szCs w:val="21"/>
          <w:lang w:val="en-US" w:eastAsia="zh-CN"/>
        </w:rPr>
        <w:t>三</w:t>
      </w:r>
      <w:r>
        <w:rPr>
          <w:rFonts w:hint="eastAsia" w:ascii="宋体" w:hAnsi="宋体"/>
          <w:color w:val="FF0000"/>
          <w:szCs w:val="21"/>
        </w:rPr>
        <w:t>）</w:t>
      </w:r>
      <w:r>
        <w:rPr>
          <w:rFonts w:hint="eastAsia" w:ascii="宋体" w:hAnsi="宋体"/>
          <w:color w:val="FF0000"/>
          <w:szCs w:val="21"/>
          <w:lang w:val="en-US" w:eastAsia="zh-CN"/>
        </w:rPr>
        <w:t>十佳标兵寝室获奖按照校级一等加分，百佳寝室按照校级其他奖项加分。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eastAsia" w:ascii="宋体" w:hAnsi="宋体"/>
          <w:szCs w:val="21"/>
        </w:rPr>
      </w:pPr>
      <w:r>
        <w:rPr>
          <w:rFonts w:hint="eastAsia" w:ascii="宋体" w:hAnsi="宋体"/>
          <w:strike w:val="0"/>
          <w:dstrike w:val="0"/>
          <w:color w:val="FF0000"/>
          <w:szCs w:val="21"/>
        </w:rPr>
        <w:t>（</w:t>
      </w:r>
      <w:r>
        <w:rPr>
          <w:rFonts w:hint="eastAsia" w:ascii="宋体" w:hAnsi="宋体"/>
          <w:strike w:val="0"/>
          <w:dstrike w:val="0"/>
          <w:color w:val="FF0000"/>
          <w:szCs w:val="21"/>
          <w:lang w:val="en-US" w:eastAsia="zh-CN"/>
        </w:rPr>
        <w:t>四</w:t>
      </w:r>
      <w:r>
        <w:rPr>
          <w:rFonts w:hint="eastAsia" w:ascii="宋体" w:hAnsi="宋体"/>
          <w:strike w:val="0"/>
          <w:dstrike w:val="0"/>
          <w:color w:val="FF0000"/>
          <w:szCs w:val="21"/>
        </w:rPr>
        <w:t>）发表个人署名的非专业性文章加分：对外</w:t>
      </w:r>
      <w:r>
        <w:rPr>
          <w:rFonts w:hint="eastAsia" w:ascii="宋体" w:hAnsi="宋体"/>
          <w:strike w:val="0"/>
          <w:dstrike w:val="0"/>
          <w:color w:val="FF0000"/>
          <w:szCs w:val="21"/>
          <w:lang w:val="en-US" w:eastAsia="zh-CN"/>
        </w:rPr>
        <w:t>纸质</w:t>
      </w:r>
      <w:r>
        <w:rPr>
          <w:rFonts w:hint="eastAsia" w:ascii="宋体" w:hAnsi="宋体"/>
          <w:strike w:val="0"/>
          <w:dstrike w:val="0"/>
          <w:color w:val="FF0000"/>
          <w:szCs w:val="21"/>
        </w:rPr>
        <w:t>刊物加4分，校报加3分。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default" w:ascii="宋体" w:hAnsi="宋体" w:eastAsia="宋体"/>
          <w:szCs w:val="21"/>
          <w:lang w:val="en-US" w:eastAsia="zh-CN"/>
        </w:rPr>
      </w:pPr>
      <w:r>
        <w:rPr>
          <w:rFonts w:hint="eastAsia" w:ascii="宋体" w:hAnsi="宋体"/>
          <w:szCs w:val="21"/>
        </w:rPr>
        <w:t>注：以团队形式（2人及以上）参加比赛（表演）获奖加分说明：核心成员0.8系数，普通成员0.5系数，不分先后则为0.6，核心成员人数一般不超过团队20%。</w:t>
      </w:r>
      <w:r>
        <w:rPr>
          <w:rFonts w:hint="eastAsia" w:ascii="宋体" w:hAnsi="宋体"/>
          <w:color w:val="FF0000"/>
          <w:szCs w:val="21"/>
          <w:lang w:val="en-US" w:eastAsia="zh-CN"/>
        </w:rPr>
        <w:t>参加其他学院组织的文体活动，累计加分不超过6分。</w:t>
      </w:r>
    </w:p>
    <w:p>
      <w:pPr>
        <w:keepNext w:val="0"/>
        <w:keepLines w:val="0"/>
        <w:pageBreakBefore w:val="0"/>
        <w:kinsoku/>
        <w:wordWrap/>
        <w:overflowPunct/>
        <w:topLinePunct w:val="0"/>
        <w:autoSpaceDE/>
        <w:autoSpaceDN/>
        <w:bidi w:val="0"/>
        <w:adjustRightInd/>
        <w:spacing w:line="300" w:lineRule="auto"/>
        <w:ind w:firstLine="422" w:firstLineChars="200"/>
        <w:jc w:val="both"/>
        <w:textAlignment w:val="auto"/>
        <w:rPr>
          <w:rFonts w:ascii="宋体" w:hAnsi="宋体"/>
          <w:b/>
          <w:szCs w:val="21"/>
        </w:rPr>
      </w:pPr>
      <w:r>
        <w:rPr>
          <w:rFonts w:hint="eastAsia" w:ascii="宋体" w:hAnsi="宋体"/>
          <w:b/>
          <w:szCs w:val="21"/>
          <w:lang w:val="en-US" w:eastAsia="zh-Hans"/>
        </w:rPr>
        <w:t>六</w:t>
      </w:r>
      <w:r>
        <w:rPr>
          <w:rFonts w:hint="eastAsia" w:ascii="宋体" w:hAnsi="宋体"/>
          <w:b/>
          <w:szCs w:val="21"/>
        </w:rPr>
        <w:t>、</w:t>
      </w:r>
      <w:r>
        <w:rPr>
          <w:rFonts w:hint="eastAsia" w:ascii="宋体" w:hAnsi="宋体"/>
          <w:b/>
          <w:szCs w:val="21"/>
          <w:lang w:eastAsia="zh-CN"/>
        </w:rPr>
        <w:t>劳动教育和社会实践</w:t>
      </w:r>
      <w:r>
        <w:rPr>
          <w:rFonts w:hint="eastAsia" w:ascii="宋体" w:hAnsi="宋体"/>
          <w:b/>
          <w:szCs w:val="21"/>
        </w:rPr>
        <w:t>(15%)</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eastAsia" w:ascii="宋体" w:hAnsi="宋体"/>
          <w:szCs w:val="21"/>
        </w:rPr>
      </w:pPr>
      <w:r>
        <w:rPr>
          <w:rFonts w:hint="eastAsia" w:ascii="宋体" w:hAnsi="宋体"/>
          <w:szCs w:val="21"/>
        </w:rPr>
        <w:t>参加劳动教育、社会实践相关竞赛或活动获奖，奖励记实标准参考值：</w:t>
      </w:r>
    </w:p>
    <w:tbl>
      <w:tblPr>
        <w:tblStyle w:val="5"/>
        <w:tblpPr w:leftFromText="180" w:rightFromText="180" w:vertAnchor="text" w:horzAnchor="margin" w:tblpXSpec="center" w:tblpY="72"/>
        <w:tblW w:w="70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00"/>
        <w:gridCol w:w="1336"/>
        <w:gridCol w:w="1298"/>
        <w:gridCol w:w="1327"/>
        <w:gridCol w:w="13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8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210" w:firstLineChars="100"/>
              <w:jc w:val="both"/>
              <w:textAlignment w:val="auto"/>
              <w:rPr>
                <w:rFonts w:ascii="宋体" w:hAnsi="宋体"/>
                <w:szCs w:val="21"/>
              </w:rPr>
            </w:pPr>
            <w:r>
              <mc:AlternateContent>
                <mc:Choice Requires="wps">
                  <w:drawing>
                    <wp:anchor distT="0" distB="0" distL="114300" distR="114300" simplePos="0" relativeHeight="251662336" behindDoc="0" locked="0" layoutInCell="1" allowOverlap="1">
                      <wp:simplePos x="0" y="0"/>
                      <wp:positionH relativeFrom="column">
                        <wp:posOffset>529590</wp:posOffset>
                      </wp:positionH>
                      <wp:positionV relativeFrom="paragraph">
                        <wp:posOffset>19685</wp:posOffset>
                      </wp:positionV>
                      <wp:extent cx="537845" cy="566420"/>
                      <wp:effectExtent l="3175" t="3175" r="11430" b="20955"/>
                      <wp:wrapNone/>
                      <wp:docPr id="4"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37845" cy="566420"/>
                              </a:xfrm>
                              <a:prstGeom prst="line">
                                <a:avLst/>
                              </a:prstGeom>
                              <a:noFill/>
                              <a:ln w="9525">
                                <a:solidFill>
                                  <a:srgbClr val="000000"/>
                                </a:solidFill>
                                <a:round/>
                              </a:ln>
                              <a:effectLst/>
                            </wps:spPr>
                            <wps:bodyPr/>
                          </wps:wsp>
                        </a:graphicData>
                      </a:graphic>
                    </wp:anchor>
                  </w:drawing>
                </mc:Choice>
                <mc:Fallback>
                  <w:pict>
                    <v:line id="直接连接符 2" o:spid="_x0000_s1026" o:spt="20" style="position:absolute;left:0pt;margin-left:41.7pt;margin-top:1.55pt;height:44.6pt;width:42.35pt;z-index:251662336;mso-width-relative:page;mso-height-relative:page;" filled="f" stroked="t" coordsize="21600,21600" o:gfxdata="UEsDBAoAAAAAAIdO4kAAAAAAAAAAAAAAAAAEAAAAZHJzL1BLAwQUAAAACACHTuJA/j5HRNUAAAAH&#10;AQAADwAAAGRycy9kb3ducmV2LnhtbE2OvU7DQBCEeyTe4bRINBG5s40iY7xOAbijIYBoN/ZiW/j2&#10;HN/lB56eSwXdjGY085Xrkx3VgWc/OEFIlgYUS+PaQTqEt9f6JgflA0lLoxNG+GYP6+ryoqSidUd5&#10;4cMmdCqOiC8IoQ9hKrT2Tc+W/NJNLDH7dLOlEO3c6XamYxy3o06NWWlLg8SHniZ+6Ln52uwtgq/f&#10;eVf/LJqF+cg6x+nu8fmJEK+vEnMPKvAp/JXhjB/RoYpMW7eX1qsRIc9uYxMhS0Cd41UexRbhLs1A&#10;V6X+z1/9AlBLAwQUAAAACACHTuJAXz0Kxe8BAAC8AwAADgAAAGRycy9lMm9Eb2MueG1srVO9jhMx&#10;EO6ReAfLPdkkJOFYZXNFoqM5INIdD+B4vVkL22N5nGzyErwAEh1UlNfzNhyPwdj54TiaK9jC8nhm&#10;vpnvm9np5c4atlUBNbiKD3p9zpSTUGu3rviH26sXF5xhFK4WBpyq+F4hv5w9fzbtfKmG0IKpVWAE&#10;4rDsfMXbGH1ZFChbZQX2wCtHzgaCFZHMsC7qIDpCt6YY9vuTooNQ+wBSIdLr4uDkR8TwFEBoGi3V&#10;AuTGKhcPqEEZEYkSttojn+Vum0bJ+L5pUEVmKk5MYz6pCN1X6SxmU1Gug/CtlscWxFNaeMTJCu2o&#10;6BlqIaJgm6D/gbJaBkBoYk+CLQ5EsiLEYtB/pM1NK7zKXEhq9GfR8f/BynfbZWC6rviIMycsDfz+&#10;893PT19//fhC5/33b2yYROo8lhQ7d8uQaMqdu/HXID8iczBvhVur3Ozt3hPCIGUUf6UkAz2VWnVv&#10;oaYYsYmQFds1wSZI0oLt8mD258GoXWSSHscvX12MxpxJco0nk9EwD64Q5SnZB4xvFFiWLhU32iXd&#10;RCm21xhTM6I8haRnB1famDx741hX8dfj4TgnIBhdJ2cKw7BezU1gW5G2J3+ZGXkehgXYuPpQxLiU&#10;p/LiHSufmB80XEG9X4aTPDTU3NtxAdPWPLSziH9+ut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5HRNUAAAAHAQAADwAAAAAAAAABACAAAAAiAAAAZHJzL2Rvd25yZXYueG1sUEsBAhQAFAAAAAgA&#10;h07iQF89CsXvAQAAvAMAAA4AAAAAAAAAAQAgAAAAJAEAAGRycy9lMm9Eb2MueG1sUEsFBgAAAAAG&#10;AAYAWQEAAIU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166370</wp:posOffset>
                      </wp:positionV>
                      <wp:extent cx="1132840" cy="407035"/>
                      <wp:effectExtent l="1905" t="4445" r="8255" b="762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143000" cy="39687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6pt;margin-top:13.1pt;height:32.05pt;width:89.2pt;z-index:251659264;mso-width-relative:page;mso-height-relative:page;" filled="f" stroked="t" coordsize="21600,21600" o:gfxdata="UEsDBAoAAAAAAIdO4kAAAAAAAAAAAAAAAAAEAAAAZHJzL1BLAwQUAAAACACHTuJASF2f4dcAAAAJ&#10;AQAADwAAAGRycy9kb3ducmV2LnhtbE2PPU/DQAyGdyT+w8lILFV7l1QKJeTSAcjGQgF1dROTROR8&#10;ae76Ab8ed4LJtvzo9eNifXaDOtIUes8WkoUBRVz7pufWwvtbNV+BChG5wcEzWfimAOvy+qrAvPEn&#10;fqXjJrZKQjjkaKGLccy1DnVHDsPCj8Sy+/STwyjj1OpmwpOEu0GnxmTaYc9yocORHjuqvzYHZyFU&#10;H7Svfmb1zGyXrad0//TyjNbe3iTmAVSkc/yD4aIv6lCK084fuAlqsDBPklRQC2km9QJkd9LsLNyb&#10;Jeiy0P8/KH8BUEsDBBQAAAAIAIdO4kBYnCeA7QEAAL0DAAAOAAAAZHJzL2Uyb0RvYy54bWytU81y&#10;0zAQvjPDO2h0J7ZTUlpPnB6SKZcCmWl5AEWWYw2SViMpsfMSvAAz3ODEkTtvQ3kMVrITaLn0gA8a&#10;aX++3e/b9fyq14rshfMSTEWLSU6JMBxqabYVfX93/eKCEh+YqZkCIyp6EJ5eLZ4/m3e2FFNoQdXC&#10;EQQxvuxsRdsQbJllnrdCMz8BKww6G3CaBXy6bVY71iG6Vtk0z8+zDlxtHXDhPVpXg5OOiO4pgNA0&#10;kosV8J0WJgyoTigWkJJvpfV0kbptGsHDu6bxIhBVUWQa0olF8L6JZ7aYs3LrmG0lH1tgT2nhESfN&#10;pMGiJ6gVC4zsnPwHSkvuwEMTJhx0NhBJiiCLIn+kzW3LrEhcUGpvT6L7/wfL3+7XjsgaN4ESwzQO&#10;/P7T958fv/z68RnP+29fSRFF6qwvMXZp1i7S5L25tTfAP3hiYNkysxWp2buDRYSUkT1IiQ9vsdSm&#10;ewM1xrBdgKRY3zgdIVEL0qfBHE6DEX0gHI1F8fIsz3FmHH1nl+cXr2axqYyVx2zrfHgtQJN4qaiS&#10;JgrHSra/8WEIPYZEs4FrqVQavjKkq+jlbDpLCR6UrKMzhnm33SyVI3sW1yd9Y90HYQ52ph6KKBPz&#10;RNq8sfKR+iDiBurD2sXgaMepJhrjBsa1+fudov78dY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F2f4dcAAAAJAQAADwAAAAAAAAABACAAAAAiAAAAZHJzL2Rvd25yZXYueG1sUEsBAhQAFAAAAAgA&#10;h07iQFicJ4DtAQAAvQMAAA4AAAAAAAAAAQAgAAAAJgEAAGRycy9lMm9Eb2MueG1sUEsFBgAAAAAG&#10;AAYAWQEAAIUFAAAAAA==&#10;">
                      <v:fill on="f" focussize="0,0"/>
                      <v:stroke color="#000000" joinstyle="round"/>
                      <v:imagedata o:title=""/>
                      <o:lock v:ext="edit" aspectratio="f"/>
                    </v:line>
                  </w:pict>
                </mc:Fallback>
              </mc:AlternateContent>
            </w:r>
            <w:r>
              <w:rPr>
                <w:rFonts w:hint="eastAsia" w:ascii="宋体" w:hAnsi="宋体"/>
                <w:szCs w:val="21"/>
              </w:rPr>
              <w:t>计分</w:t>
            </w:r>
            <w:r>
              <w:rPr>
                <w:rFonts w:hint="eastAsia" w:ascii="宋体" w:hAnsi="宋体"/>
                <w:szCs w:val="21"/>
                <w:lang w:val="en-US" w:eastAsia="zh-CN"/>
              </w:rPr>
              <w:t xml:space="preserve"> </w:t>
            </w:r>
            <w:r>
              <w:rPr>
                <w:rFonts w:hint="eastAsia" w:ascii="宋体" w:hAnsi="宋体"/>
                <w:szCs w:val="21"/>
              </w:rPr>
              <w:t xml:space="preserve">    等级</w:t>
            </w:r>
          </w:p>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both"/>
              <w:textAlignment w:val="auto"/>
              <w:rPr>
                <w:rFonts w:ascii="宋体" w:hAnsi="宋体"/>
                <w:szCs w:val="21"/>
              </w:rPr>
            </w:pPr>
            <w:r>
              <w:rPr>
                <w:rFonts w:hint="eastAsia" w:ascii="宋体" w:hAnsi="宋体"/>
                <w:szCs w:val="21"/>
              </w:rPr>
              <w:t>级别</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一等</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二等</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三等</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国家级</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50</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35</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25</w:t>
            </w:r>
          </w:p>
        </w:tc>
        <w:tc>
          <w:tcPr>
            <w:tcW w:w="13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省  级</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30</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20</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15</w:t>
            </w:r>
          </w:p>
        </w:tc>
        <w:tc>
          <w:tcPr>
            <w:tcW w:w="13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市  级</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18</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12</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8</w:t>
            </w:r>
          </w:p>
        </w:tc>
        <w:tc>
          <w:tcPr>
            <w:tcW w:w="13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校  级</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12</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8</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w:t>
            </w:r>
          </w:p>
        </w:tc>
        <w:tc>
          <w:tcPr>
            <w:tcW w:w="13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院  级</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w:t>
            </w:r>
          </w:p>
        </w:tc>
        <w:tc>
          <w:tcPr>
            <w:tcW w:w="13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w:t>
            </w:r>
          </w:p>
        </w:tc>
      </w:tr>
    </w:tbl>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szCs w:val="21"/>
        </w:rPr>
      </w:pPr>
      <w:r>
        <w:rPr>
          <w:rFonts w:hint="eastAsia" w:ascii="宋体" w:hAnsi="宋体"/>
          <w:szCs w:val="21"/>
        </w:rPr>
        <w:t>（一）寒暑假社会实践个人荣誉：院级先进个人/优秀论文加3分，校级先进个人/优秀</w:t>
      </w:r>
    </w:p>
    <w:p>
      <w:pPr>
        <w:keepNext w:val="0"/>
        <w:keepLines w:val="0"/>
        <w:pageBreakBefore w:val="0"/>
        <w:kinsoku/>
        <w:wordWrap/>
        <w:overflowPunct/>
        <w:topLinePunct w:val="0"/>
        <w:autoSpaceDE/>
        <w:autoSpaceDN/>
        <w:bidi w:val="0"/>
        <w:adjustRightInd/>
        <w:spacing w:line="300" w:lineRule="auto"/>
        <w:jc w:val="both"/>
        <w:textAlignment w:val="auto"/>
        <w:rPr>
          <w:rFonts w:ascii="宋体" w:hAnsi="宋体"/>
          <w:szCs w:val="21"/>
        </w:rPr>
      </w:pPr>
      <w:r>
        <w:rPr>
          <w:rFonts w:hint="eastAsia" w:ascii="宋体" w:hAnsi="宋体"/>
          <w:szCs w:val="21"/>
        </w:rPr>
        <w:t>论文加8分，省级先进个人20分。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（二）</w:t>
      </w:r>
      <w:r>
        <w:rPr>
          <w:rFonts w:hint="eastAsia" w:ascii="宋体" w:hAnsi="宋体"/>
          <w:color w:val="FF0000"/>
          <w:szCs w:val="21"/>
        </w:rPr>
        <w:t>由学校认定的</w:t>
      </w:r>
      <w:r>
        <w:rPr>
          <w:rFonts w:hint="eastAsia" w:ascii="宋体" w:hAnsi="宋体"/>
          <w:color w:val="FF0000"/>
          <w:szCs w:val="21"/>
          <w:lang w:val="en-US" w:eastAsia="zh-CN"/>
        </w:rPr>
        <w:t>星级志愿者按照学校规定加分</w:t>
      </w:r>
      <w:r>
        <w:rPr>
          <w:rFonts w:hint="eastAsia" w:ascii="宋体" w:hAnsi="宋体"/>
          <w:color w:val="FF0000"/>
          <w:szCs w:val="21"/>
        </w:rPr>
        <w:t>。</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（三）寒暑假社会实践集体荣誉：院级一等奖加3分、二等奖加2分</w:t>
      </w:r>
      <w:r>
        <w:rPr>
          <w:rFonts w:hint="eastAsia" w:ascii="宋体" w:hAnsi="宋体"/>
          <w:szCs w:val="21"/>
          <w:lang w:eastAsia="zh-CN"/>
        </w:rPr>
        <w:t>、</w:t>
      </w:r>
      <w:r>
        <w:rPr>
          <w:rFonts w:hint="eastAsia" w:ascii="宋体" w:hAnsi="宋体"/>
          <w:szCs w:val="21"/>
        </w:rPr>
        <w:t>三等奖加1分，校级十佳团队加5分，</w:t>
      </w:r>
      <w:r>
        <w:rPr>
          <w:rFonts w:hint="eastAsia" w:ascii="宋体" w:hAnsi="宋体"/>
          <w:color w:val="FF0000"/>
          <w:szCs w:val="21"/>
          <w:lang w:val="en-US" w:eastAsia="zh-CN"/>
        </w:rPr>
        <w:t>校级优秀团队加3分，</w:t>
      </w:r>
      <w:r>
        <w:rPr>
          <w:rFonts w:hint="eastAsia" w:ascii="宋体" w:hAnsi="宋体"/>
          <w:szCs w:val="21"/>
        </w:rPr>
        <w:t>省级优秀团队加15分。(要算团队系数)</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（四）同一社会实践项目的个人荣誉和集体荣誉不累加，取最高加分等级。参与寒暑假学院组织的实践活动并提交相关材料，未获奖加固定值1分。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（五）参加学校国际交换生项目，按校级先进个人，加8分/次；参加国内交流生项目，按院级先进个人，加3分/次。</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eastAsia" w:ascii="宋体" w:hAnsi="宋体"/>
          <w:szCs w:val="21"/>
        </w:rPr>
      </w:pPr>
      <w:r>
        <w:rPr>
          <w:rFonts w:hint="eastAsia" w:ascii="宋体" w:hAnsi="宋体"/>
          <w:szCs w:val="21"/>
        </w:rPr>
        <w:t>（六）学院公众号采编新闻并录用1分/次，排版0.5分/次，</w:t>
      </w:r>
      <w:r>
        <w:rPr>
          <w:rFonts w:hint="eastAsia" w:ascii="宋体" w:hAnsi="宋体"/>
          <w:color w:val="FF0000"/>
          <w:szCs w:val="21"/>
          <w:lang w:val="en-US" w:eastAsia="zh-CN"/>
        </w:rPr>
        <w:t>负责宣传工作的学生在基础工作量完成之后加分（每学期基础工作量为3分相等工作量），</w:t>
      </w:r>
      <w:r>
        <w:rPr>
          <w:rFonts w:hint="eastAsia" w:ascii="宋体" w:hAnsi="宋体"/>
          <w:szCs w:val="21"/>
        </w:rPr>
        <w:t>最高记10分。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注：以团队形式（2人及以上）参加比赛（</w:t>
      </w:r>
      <w:r>
        <w:rPr>
          <w:rFonts w:hint="eastAsia" w:ascii="宋体" w:hAnsi="宋体"/>
          <w:szCs w:val="21"/>
          <w:lang w:eastAsia="zh-CN"/>
        </w:rPr>
        <w:t>活动</w:t>
      </w:r>
      <w:r>
        <w:rPr>
          <w:rFonts w:hint="eastAsia" w:ascii="宋体" w:hAnsi="宋体"/>
          <w:szCs w:val="21"/>
        </w:rPr>
        <w:t>）获奖加分说明：核心成员0.8系数，普通成员0.5系数，不分先后则为0.6，核心成员人数一般不超过团队20%。</w:t>
      </w:r>
    </w:p>
    <w:p>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b/>
          <w:sz w:val="24"/>
          <w:szCs w:val="24"/>
        </w:rPr>
      </w:pPr>
    </w:p>
    <w:p>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b/>
          <w:sz w:val="24"/>
          <w:szCs w:val="24"/>
        </w:rPr>
      </w:pPr>
    </w:p>
    <w:p>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b/>
          <w:sz w:val="24"/>
          <w:szCs w:val="24"/>
        </w:rPr>
      </w:pPr>
      <w:r>
        <w:rPr>
          <w:rFonts w:hint="eastAsia" w:ascii="宋体" w:hAnsi="宋体"/>
          <w:b/>
          <w:sz w:val="24"/>
          <w:szCs w:val="24"/>
        </w:rPr>
        <w:t>评价结果</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通过对学生的综合评价学生将分别获得基本测评分和综合能力分，并分别在评价样本范围内排名。</w:t>
      </w:r>
    </w:p>
    <w:p>
      <w:pPr>
        <w:keepNext w:val="0"/>
        <w:keepLines w:val="0"/>
        <w:pageBreakBefore w:val="0"/>
        <w:kinsoku/>
        <w:wordWrap/>
        <w:overflowPunct/>
        <w:topLinePunct w:val="0"/>
        <w:autoSpaceDE/>
        <w:autoSpaceDN/>
        <w:bidi w:val="0"/>
        <w:adjustRightInd/>
        <w:spacing w:line="300" w:lineRule="auto"/>
        <w:ind w:firstLine="0" w:firstLineChars="0"/>
        <w:jc w:val="both"/>
        <w:textAlignment w:val="auto"/>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B62A2E1E-61CC-4FBD-8B29-08829175648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NjVkZDMwMmJmOWM5NThjMWU5MzljY2M1NGNjY2IifQ=="/>
  </w:docVars>
  <w:rsids>
    <w:rsidRoot w:val="00203DA2"/>
    <w:rsid w:val="0000649C"/>
    <w:rsid w:val="00020E95"/>
    <w:rsid w:val="00027782"/>
    <w:rsid w:val="00027966"/>
    <w:rsid w:val="000553BF"/>
    <w:rsid w:val="0006207A"/>
    <w:rsid w:val="0008228E"/>
    <w:rsid w:val="00085398"/>
    <w:rsid w:val="00092BC6"/>
    <w:rsid w:val="00093B64"/>
    <w:rsid w:val="000B1FA7"/>
    <w:rsid w:val="000C2F12"/>
    <w:rsid w:val="000D35E8"/>
    <w:rsid w:val="000D5E40"/>
    <w:rsid w:val="000E1182"/>
    <w:rsid w:val="000E6D88"/>
    <w:rsid w:val="000E737B"/>
    <w:rsid w:val="001161A5"/>
    <w:rsid w:val="00135A06"/>
    <w:rsid w:val="00150B43"/>
    <w:rsid w:val="00165D86"/>
    <w:rsid w:val="001726A1"/>
    <w:rsid w:val="001803C1"/>
    <w:rsid w:val="00187197"/>
    <w:rsid w:val="001925EE"/>
    <w:rsid w:val="001A1327"/>
    <w:rsid w:val="001D6CCC"/>
    <w:rsid w:val="00200AFA"/>
    <w:rsid w:val="00202349"/>
    <w:rsid w:val="00203DA2"/>
    <w:rsid w:val="002078DB"/>
    <w:rsid w:val="00221AD9"/>
    <w:rsid w:val="00226A11"/>
    <w:rsid w:val="0023584B"/>
    <w:rsid w:val="00246479"/>
    <w:rsid w:val="002528B8"/>
    <w:rsid w:val="00266050"/>
    <w:rsid w:val="002746A3"/>
    <w:rsid w:val="0027470F"/>
    <w:rsid w:val="00282229"/>
    <w:rsid w:val="002840F8"/>
    <w:rsid w:val="00287814"/>
    <w:rsid w:val="002919E7"/>
    <w:rsid w:val="002A1EA6"/>
    <w:rsid w:val="002A4B57"/>
    <w:rsid w:val="002B25C8"/>
    <w:rsid w:val="002D282E"/>
    <w:rsid w:val="002D4D77"/>
    <w:rsid w:val="002F0099"/>
    <w:rsid w:val="002F5999"/>
    <w:rsid w:val="0031163F"/>
    <w:rsid w:val="00315CD7"/>
    <w:rsid w:val="00327743"/>
    <w:rsid w:val="00354806"/>
    <w:rsid w:val="00372A3B"/>
    <w:rsid w:val="003752E8"/>
    <w:rsid w:val="00382DEA"/>
    <w:rsid w:val="00394C98"/>
    <w:rsid w:val="003A04A0"/>
    <w:rsid w:val="003A0F96"/>
    <w:rsid w:val="003A25C1"/>
    <w:rsid w:val="003A6239"/>
    <w:rsid w:val="003B403B"/>
    <w:rsid w:val="003E1B31"/>
    <w:rsid w:val="003E67AA"/>
    <w:rsid w:val="003E6E80"/>
    <w:rsid w:val="00401045"/>
    <w:rsid w:val="00403C1C"/>
    <w:rsid w:val="004061CB"/>
    <w:rsid w:val="004177E1"/>
    <w:rsid w:val="00420031"/>
    <w:rsid w:val="004201BB"/>
    <w:rsid w:val="00421A20"/>
    <w:rsid w:val="004339C1"/>
    <w:rsid w:val="00437B62"/>
    <w:rsid w:val="00461571"/>
    <w:rsid w:val="00467DEA"/>
    <w:rsid w:val="00482017"/>
    <w:rsid w:val="0049675F"/>
    <w:rsid w:val="00496FC8"/>
    <w:rsid w:val="004B2477"/>
    <w:rsid w:val="004B4F25"/>
    <w:rsid w:val="004C3C25"/>
    <w:rsid w:val="005005F0"/>
    <w:rsid w:val="005237EA"/>
    <w:rsid w:val="00546A3D"/>
    <w:rsid w:val="005552F8"/>
    <w:rsid w:val="00557E38"/>
    <w:rsid w:val="00565F98"/>
    <w:rsid w:val="00587940"/>
    <w:rsid w:val="005922A0"/>
    <w:rsid w:val="0059596F"/>
    <w:rsid w:val="005A12CB"/>
    <w:rsid w:val="005A47FA"/>
    <w:rsid w:val="005B0F5B"/>
    <w:rsid w:val="005D01AE"/>
    <w:rsid w:val="005D04C6"/>
    <w:rsid w:val="005D7915"/>
    <w:rsid w:val="00617FE8"/>
    <w:rsid w:val="00622E41"/>
    <w:rsid w:val="006254E8"/>
    <w:rsid w:val="00641CDE"/>
    <w:rsid w:val="0066751D"/>
    <w:rsid w:val="00667B90"/>
    <w:rsid w:val="00675645"/>
    <w:rsid w:val="00691BAE"/>
    <w:rsid w:val="006B22FD"/>
    <w:rsid w:val="006C66FF"/>
    <w:rsid w:val="006D4E47"/>
    <w:rsid w:val="006E0160"/>
    <w:rsid w:val="006E11C7"/>
    <w:rsid w:val="00700607"/>
    <w:rsid w:val="00700649"/>
    <w:rsid w:val="00726B06"/>
    <w:rsid w:val="0073797F"/>
    <w:rsid w:val="007430CA"/>
    <w:rsid w:val="007452EF"/>
    <w:rsid w:val="00753D8A"/>
    <w:rsid w:val="00762CDE"/>
    <w:rsid w:val="007655F4"/>
    <w:rsid w:val="00767548"/>
    <w:rsid w:val="00773DA6"/>
    <w:rsid w:val="00775B82"/>
    <w:rsid w:val="007846C5"/>
    <w:rsid w:val="007942B0"/>
    <w:rsid w:val="00796C5A"/>
    <w:rsid w:val="007A1AC0"/>
    <w:rsid w:val="007A48B8"/>
    <w:rsid w:val="007A5194"/>
    <w:rsid w:val="007B667F"/>
    <w:rsid w:val="007C3820"/>
    <w:rsid w:val="007C5F92"/>
    <w:rsid w:val="007D148E"/>
    <w:rsid w:val="007D1745"/>
    <w:rsid w:val="008378BF"/>
    <w:rsid w:val="00873D9D"/>
    <w:rsid w:val="00877A45"/>
    <w:rsid w:val="00880258"/>
    <w:rsid w:val="008808C4"/>
    <w:rsid w:val="00887D4E"/>
    <w:rsid w:val="00895E4D"/>
    <w:rsid w:val="00896157"/>
    <w:rsid w:val="008A6F16"/>
    <w:rsid w:val="008B4080"/>
    <w:rsid w:val="008D0D33"/>
    <w:rsid w:val="008D628F"/>
    <w:rsid w:val="008D741F"/>
    <w:rsid w:val="008E3B97"/>
    <w:rsid w:val="008E47DE"/>
    <w:rsid w:val="0091378E"/>
    <w:rsid w:val="009832B7"/>
    <w:rsid w:val="00986DE5"/>
    <w:rsid w:val="00992493"/>
    <w:rsid w:val="009977E6"/>
    <w:rsid w:val="009B472D"/>
    <w:rsid w:val="009B64F8"/>
    <w:rsid w:val="009C5896"/>
    <w:rsid w:val="009D0617"/>
    <w:rsid w:val="009D7A10"/>
    <w:rsid w:val="009F498C"/>
    <w:rsid w:val="00A467AF"/>
    <w:rsid w:val="00A85733"/>
    <w:rsid w:val="00AA44EC"/>
    <w:rsid w:val="00AB72F9"/>
    <w:rsid w:val="00AE0DE4"/>
    <w:rsid w:val="00AE19EC"/>
    <w:rsid w:val="00AE52A3"/>
    <w:rsid w:val="00AE6248"/>
    <w:rsid w:val="00B123F5"/>
    <w:rsid w:val="00B16F5A"/>
    <w:rsid w:val="00B313B1"/>
    <w:rsid w:val="00B70818"/>
    <w:rsid w:val="00B90D2A"/>
    <w:rsid w:val="00BA070C"/>
    <w:rsid w:val="00BB71E2"/>
    <w:rsid w:val="00BC3649"/>
    <w:rsid w:val="00BC4F97"/>
    <w:rsid w:val="00BC6A2E"/>
    <w:rsid w:val="00BD1ADF"/>
    <w:rsid w:val="00BD6811"/>
    <w:rsid w:val="00BD7300"/>
    <w:rsid w:val="00BD7731"/>
    <w:rsid w:val="00C0430C"/>
    <w:rsid w:val="00C06120"/>
    <w:rsid w:val="00C163B9"/>
    <w:rsid w:val="00C20EB9"/>
    <w:rsid w:val="00C24166"/>
    <w:rsid w:val="00C2629E"/>
    <w:rsid w:val="00C35DB8"/>
    <w:rsid w:val="00C50202"/>
    <w:rsid w:val="00C55707"/>
    <w:rsid w:val="00C650A3"/>
    <w:rsid w:val="00C935A4"/>
    <w:rsid w:val="00C94B5F"/>
    <w:rsid w:val="00CA19A8"/>
    <w:rsid w:val="00CA2685"/>
    <w:rsid w:val="00CC2A45"/>
    <w:rsid w:val="00CD4351"/>
    <w:rsid w:val="00D15A62"/>
    <w:rsid w:val="00D214AF"/>
    <w:rsid w:val="00D35911"/>
    <w:rsid w:val="00D43864"/>
    <w:rsid w:val="00D4448D"/>
    <w:rsid w:val="00D564F8"/>
    <w:rsid w:val="00D662B9"/>
    <w:rsid w:val="00D75D13"/>
    <w:rsid w:val="00DA5AA1"/>
    <w:rsid w:val="00DD60EA"/>
    <w:rsid w:val="00DD6B3C"/>
    <w:rsid w:val="00E04E4C"/>
    <w:rsid w:val="00E12ED6"/>
    <w:rsid w:val="00E325B8"/>
    <w:rsid w:val="00E43705"/>
    <w:rsid w:val="00E5047A"/>
    <w:rsid w:val="00E82F44"/>
    <w:rsid w:val="00E876E0"/>
    <w:rsid w:val="00E91711"/>
    <w:rsid w:val="00E94597"/>
    <w:rsid w:val="00EB023B"/>
    <w:rsid w:val="00EB1B8D"/>
    <w:rsid w:val="00ED6FD0"/>
    <w:rsid w:val="00EE07D0"/>
    <w:rsid w:val="00EF07EB"/>
    <w:rsid w:val="00EF3106"/>
    <w:rsid w:val="00F03AFD"/>
    <w:rsid w:val="00F178E3"/>
    <w:rsid w:val="00F361F2"/>
    <w:rsid w:val="00F40107"/>
    <w:rsid w:val="00F45F4A"/>
    <w:rsid w:val="00F500DF"/>
    <w:rsid w:val="00F633A0"/>
    <w:rsid w:val="00F6583D"/>
    <w:rsid w:val="00F66111"/>
    <w:rsid w:val="00F84D78"/>
    <w:rsid w:val="00F860CB"/>
    <w:rsid w:val="00FA4178"/>
    <w:rsid w:val="00FA4AC1"/>
    <w:rsid w:val="00FB5F48"/>
    <w:rsid w:val="00FC7A00"/>
    <w:rsid w:val="00FD3B7B"/>
    <w:rsid w:val="00FE5187"/>
    <w:rsid w:val="00FE616E"/>
    <w:rsid w:val="00FF0DF7"/>
    <w:rsid w:val="035A20BD"/>
    <w:rsid w:val="0A0C5D7A"/>
    <w:rsid w:val="0A802121"/>
    <w:rsid w:val="0B777C2D"/>
    <w:rsid w:val="0BBC06F1"/>
    <w:rsid w:val="122653B3"/>
    <w:rsid w:val="14E16E52"/>
    <w:rsid w:val="1857476A"/>
    <w:rsid w:val="1CCD0CC3"/>
    <w:rsid w:val="1E3759F0"/>
    <w:rsid w:val="24C47851"/>
    <w:rsid w:val="319F473F"/>
    <w:rsid w:val="326C68C5"/>
    <w:rsid w:val="35C95858"/>
    <w:rsid w:val="36130FCD"/>
    <w:rsid w:val="36C77FB3"/>
    <w:rsid w:val="38183E1B"/>
    <w:rsid w:val="3ADE5A86"/>
    <w:rsid w:val="4162149D"/>
    <w:rsid w:val="45844018"/>
    <w:rsid w:val="4C0C4EF6"/>
    <w:rsid w:val="4D4F5852"/>
    <w:rsid w:val="512F100B"/>
    <w:rsid w:val="53E66E14"/>
    <w:rsid w:val="5B500161"/>
    <w:rsid w:val="5D1E03BB"/>
    <w:rsid w:val="607F079B"/>
    <w:rsid w:val="60E20425"/>
    <w:rsid w:val="63796491"/>
    <w:rsid w:val="64E169D4"/>
    <w:rsid w:val="66066170"/>
    <w:rsid w:val="6623156C"/>
    <w:rsid w:val="66E630E7"/>
    <w:rsid w:val="67EF06E2"/>
    <w:rsid w:val="734277D1"/>
    <w:rsid w:val="75A578BA"/>
    <w:rsid w:val="7A444D3A"/>
    <w:rsid w:val="7E270442"/>
    <w:rsid w:val="7FAF3A53"/>
    <w:rsid w:val="B17F7FED"/>
    <w:rsid w:val="FFF66D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5226</Words>
  <Characters>5600</Characters>
  <Lines>46</Lines>
  <Paragraphs>13</Paragraphs>
  <TotalTime>62</TotalTime>
  <ScaleCrop>false</ScaleCrop>
  <LinksUpToDate>false</LinksUpToDate>
  <CharactersWithSpaces>5633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2013-05-31T16:17:00Z</dcterms:created>
  <dc:creator>User</dc:creator>
  <cp:lastModifiedBy>Sunny rain</cp:lastModifiedBy>
  <cp:lastPrinted>2023-02-20T05:26:00Z</cp:lastPrinted>
  <dcterms:modified xsi:type="dcterms:W3CDTF">2023-11-02T02:34:14Z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61DA3BAF17884870958261FAE5E5398D_13</vt:lpwstr>
  </property>
</Properties>
</file>